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31" w:rsidRPr="00815E0E" w:rsidRDefault="00AA1631" w:rsidP="00AA1631">
      <w:pPr>
        <w:pStyle w:val="Stile"/>
        <w:shd w:val="clear" w:color="auto" w:fill="FFFFFE"/>
        <w:spacing w:line="264" w:lineRule="auto"/>
        <w:ind w:right="85"/>
        <w:jc w:val="both"/>
        <w:rPr>
          <w:b/>
          <w:sz w:val="22"/>
          <w:szCs w:val="22"/>
          <w:shd w:val="clear" w:color="auto" w:fill="FFFFFE"/>
          <w:lang w:bidi="he-IL"/>
        </w:rPr>
      </w:pPr>
      <w:r w:rsidRPr="00815E0E">
        <w:rPr>
          <w:b/>
          <w:sz w:val="22"/>
          <w:szCs w:val="22"/>
          <w:shd w:val="clear" w:color="auto" w:fill="FFFFFE"/>
          <w:lang w:bidi="he-IL"/>
        </w:rPr>
        <w:t>Trasformazione del diritto di superficie in diritto di proprietà e rimozione dei vincoli relativi alla determinazione del prezzo massimo di cessione delle singole unità abitative e loro pertinenze nonché del canone massimo di locazione contenuti nelle convenzioni di cui all’articolo 35 della legge 22 ottobre 1971, n. 865.</w:t>
      </w:r>
    </w:p>
    <w:p w:rsidR="00AA1631" w:rsidRPr="00815E0E" w:rsidRDefault="00AA1631" w:rsidP="00AA1631">
      <w:pPr>
        <w:pStyle w:val="Stile"/>
        <w:shd w:val="clear" w:color="auto" w:fill="FFFFFE"/>
        <w:spacing w:before="240" w:after="240" w:line="264" w:lineRule="auto"/>
        <w:ind w:right="85"/>
        <w:jc w:val="center"/>
        <w:rPr>
          <w:b/>
          <w:shd w:val="clear" w:color="auto" w:fill="FFFFFE"/>
          <w:lang w:bidi="he-IL"/>
        </w:rPr>
      </w:pPr>
      <w:r w:rsidRPr="00815E0E">
        <w:rPr>
          <w:b/>
          <w:shd w:val="clear" w:color="auto" w:fill="FFFFFE"/>
          <w:lang w:bidi="he-IL"/>
        </w:rPr>
        <w:t>PROPOSTA OPERATIVA</w:t>
      </w:r>
    </w:p>
    <w:p w:rsidR="00AA1631" w:rsidRPr="00815E0E" w:rsidRDefault="00AA1631" w:rsidP="00AA1631">
      <w:pPr>
        <w:pStyle w:val="Stile"/>
        <w:numPr>
          <w:ilvl w:val="0"/>
          <w:numId w:val="8"/>
        </w:numPr>
        <w:shd w:val="clear" w:color="auto" w:fill="FFFFFE"/>
        <w:spacing w:before="360" w:line="264" w:lineRule="auto"/>
        <w:ind w:right="51"/>
        <w:jc w:val="both"/>
        <w:rPr>
          <w:b/>
          <w:sz w:val="22"/>
          <w:szCs w:val="22"/>
          <w:u w:val="single"/>
          <w:shd w:val="clear" w:color="auto" w:fill="FFFFFE"/>
          <w:lang w:bidi="he-IL"/>
        </w:rPr>
      </w:pPr>
      <w:r w:rsidRPr="00815E0E">
        <w:rPr>
          <w:b/>
          <w:sz w:val="22"/>
          <w:szCs w:val="22"/>
          <w:u w:val="single"/>
          <w:shd w:val="clear" w:color="auto" w:fill="FFFFFE"/>
          <w:lang w:bidi="he-IL"/>
        </w:rPr>
        <w:t xml:space="preserve">NORMATIVA DI RIFERIMENTO </w:t>
      </w:r>
    </w:p>
    <w:p w:rsidR="00AA1631" w:rsidRPr="00815E0E" w:rsidRDefault="00AA1631" w:rsidP="00AA1631">
      <w:pPr>
        <w:pStyle w:val="Paragrafoelenco"/>
        <w:spacing w:before="120" w:after="0" w:line="264" w:lineRule="auto"/>
        <w:ind w:left="0"/>
        <w:contextualSpacing w:val="0"/>
        <w:jc w:val="both"/>
        <w:rPr>
          <w:rFonts w:ascii="Times New Roman" w:hAnsi="Times New Roman"/>
          <w:lang w:val="it-IT" w:eastAsia="it-IT"/>
        </w:rPr>
      </w:pPr>
      <w:r w:rsidRPr="00815E0E">
        <w:rPr>
          <w:rFonts w:ascii="Times New Roman" w:hAnsi="Times New Roman"/>
          <w:lang w:val="it-IT" w:eastAsia="it-IT"/>
        </w:rPr>
        <w:t xml:space="preserve">La Legge 23 dicembre 1998 n. 448, così come modificata dalla Legge n. 106 del 12.07.2011, dall’articolo 23-ter, comma 1-bis della legge n. 135 del 2012, dall’art. 1, comma 392 della legge n. 147 del 2013, all’art. 31, commi da 45 a 50, dall’art. 25- </w:t>
      </w:r>
      <w:proofErr w:type="spellStart"/>
      <w:r w:rsidRPr="00815E0E">
        <w:rPr>
          <w:rFonts w:ascii="Times New Roman" w:hAnsi="Times New Roman"/>
          <w:lang w:val="it-IT" w:eastAsia="it-IT"/>
        </w:rPr>
        <w:t>undecies</w:t>
      </w:r>
      <w:proofErr w:type="spellEnd"/>
      <w:r w:rsidRPr="00815E0E">
        <w:rPr>
          <w:rFonts w:ascii="Times New Roman" w:hAnsi="Times New Roman"/>
          <w:lang w:val="it-IT" w:eastAsia="it-IT"/>
        </w:rPr>
        <w:t xml:space="preserve">, commi 1 </w:t>
      </w:r>
      <w:proofErr w:type="spellStart"/>
      <w:r w:rsidRPr="00815E0E">
        <w:rPr>
          <w:rFonts w:ascii="Times New Roman" w:hAnsi="Times New Roman"/>
          <w:lang w:val="it-IT" w:eastAsia="it-IT"/>
        </w:rPr>
        <w:t>lett</w:t>
      </w:r>
      <w:proofErr w:type="spellEnd"/>
      <w:r w:rsidRPr="00815E0E">
        <w:rPr>
          <w:rFonts w:ascii="Times New Roman" w:hAnsi="Times New Roman"/>
          <w:lang w:val="it-IT" w:eastAsia="it-IT"/>
        </w:rPr>
        <w:t>. a) e b) e 2 del D.L. 23.10.2018, n. 119 convertito dalla L. 136/2018 e infine dal D.L. 31.05.2021, n. 77 convertito dalla L. 108/2021 stabilisce che:</w:t>
      </w:r>
    </w:p>
    <w:p w:rsidR="00AA1631" w:rsidRPr="00815E0E" w:rsidRDefault="00AA1631" w:rsidP="00AA1631">
      <w:pPr>
        <w:pStyle w:val="Paragrafoelenco"/>
        <w:numPr>
          <w:ilvl w:val="0"/>
          <w:numId w:val="1"/>
        </w:numPr>
        <w:spacing w:before="120" w:after="0" w:line="264" w:lineRule="auto"/>
        <w:contextualSpacing w:val="0"/>
        <w:jc w:val="both"/>
        <w:rPr>
          <w:rFonts w:ascii="Times New Roman" w:hAnsi="Times New Roman"/>
          <w:b/>
          <w:i/>
          <w:lang w:val="it-IT"/>
        </w:rPr>
      </w:pPr>
      <w:r w:rsidRPr="00815E0E">
        <w:rPr>
          <w:rFonts w:ascii="Times New Roman" w:hAnsi="Times New Roman"/>
          <w:b/>
          <w:i/>
          <w:lang w:val="it-IT"/>
        </w:rPr>
        <w:t xml:space="preserve">45. </w:t>
      </w:r>
      <w:r w:rsidRPr="00815E0E">
        <w:rPr>
          <w:rFonts w:ascii="Times New Roman" w:hAnsi="Times New Roman"/>
          <w:i/>
          <w:lang w:val="it-IT"/>
        </w:rPr>
        <w:t>I comuni possono cedere in proprietà le aree comprese nei piani approvati a norma della legge 18 aprile 1962, n. 167, ovvero delimitate ai sensi dell’articolo 51 della legge 22 ottobre 1971, n. 865, già concesse in diritto di superficie ai sensi dell’articolo 35, quarto comma, della medesima legge n. 865 del 1971. Le domande di acquisto pervenute dai proprietari di alloggi ubicati nelle aree non escluse, prima della approvazione della delibera comunale, conservano efficacia.</w:t>
      </w:r>
    </w:p>
    <w:p w:rsidR="00AA1631" w:rsidRPr="00815E0E" w:rsidRDefault="00AA1631" w:rsidP="00AA1631">
      <w:pPr>
        <w:pStyle w:val="Paragrafoelenco"/>
        <w:numPr>
          <w:ilvl w:val="0"/>
          <w:numId w:val="1"/>
        </w:numPr>
        <w:spacing w:before="120" w:after="0" w:line="264" w:lineRule="auto"/>
        <w:contextualSpacing w:val="0"/>
        <w:jc w:val="both"/>
        <w:rPr>
          <w:rFonts w:ascii="Times New Roman" w:hAnsi="Times New Roman"/>
          <w:i/>
          <w:lang w:val="it-IT"/>
        </w:rPr>
      </w:pPr>
      <w:r w:rsidRPr="00815E0E">
        <w:rPr>
          <w:rFonts w:ascii="Times New Roman" w:hAnsi="Times New Roman"/>
          <w:b/>
          <w:i/>
          <w:lang w:val="it-IT"/>
        </w:rPr>
        <w:t xml:space="preserve">46. </w:t>
      </w:r>
      <w:r w:rsidRPr="00815E0E">
        <w:rPr>
          <w:rFonts w:ascii="Times New Roman" w:hAnsi="Times New Roman"/>
          <w:i/>
          <w:lang w:val="it-IT"/>
        </w:rPr>
        <w:t>Le convenzioni stipulate ai sensi dell’articolo 35 della legge 22 ottobre 1971, n. 865, e successive modificazioni, e precedentemente alla data di entrata in vigore della legge 17 febbraio 1992, n. 179, per la cessione del diritto di proprietà, possono essere sostituite con la convenzione di cui all’articolo 8, commi primo, quarto e quinto, della legge 28 gennaio 1977, n. 10, alle seguenti condizioni:</w:t>
      </w:r>
    </w:p>
    <w:p w:rsidR="00AA1631" w:rsidRPr="00815E0E" w:rsidRDefault="00AA1631" w:rsidP="00AA1631">
      <w:pPr>
        <w:pStyle w:val="Paragrafoelenco"/>
        <w:numPr>
          <w:ilvl w:val="0"/>
          <w:numId w:val="2"/>
        </w:numPr>
        <w:spacing w:before="60" w:after="0" w:line="264" w:lineRule="auto"/>
        <w:ind w:left="714" w:hanging="357"/>
        <w:jc w:val="both"/>
        <w:rPr>
          <w:rFonts w:ascii="Times New Roman" w:hAnsi="Times New Roman"/>
          <w:i/>
          <w:lang w:val="it-IT"/>
        </w:rPr>
      </w:pPr>
      <w:proofErr w:type="gramStart"/>
      <w:r w:rsidRPr="00815E0E">
        <w:rPr>
          <w:rFonts w:ascii="Times New Roman" w:hAnsi="Times New Roman"/>
          <w:i/>
          <w:lang w:val="it-IT"/>
        </w:rPr>
        <w:t>per</w:t>
      </w:r>
      <w:proofErr w:type="gramEnd"/>
      <w:r w:rsidRPr="00815E0E">
        <w:rPr>
          <w:rFonts w:ascii="Times New Roman" w:hAnsi="Times New Roman"/>
          <w:i/>
          <w:lang w:val="it-IT"/>
        </w:rPr>
        <w:t xml:space="preserve"> una durata di 20 anni diminuita del tempo trascorso fra la data di stipulazione della convenzione che ha accompagnato la concessione del diritto di superficie o la cessione in proprietà delle aree e quella di stipulazione della nuova convenzione;</w:t>
      </w:r>
    </w:p>
    <w:p w:rsidR="00AA1631" w:rsidRPr="00815E0E" w:rsidRDefault="00AA1631" w:rsidP="00AA1631">
      <w:pPr>
        <w:pStyle w:val="Paragrafoelenco"/>
        <w:numPr>
          <w:ilvl w:val="0"/>
          <w:numId w:val="2"/>
        </w:numPr>
        <w:spacing w:before="60" w:after="0" w:line="264" w:lineRule="auto"/>
        <w:ind w:left="714" w:hanging="357"/>
        <w:jc w:val="both"/>
        <w:rPr>
          <w:rFonts w:ascii="Times New Roman" w:hAnsi="Times New Roman"/>
          <w:i/>
          <w:lang w:val="it-IT"/>
        </w:rPr>
      </w:pPr>
      <w:proofErr w:type="gramStart"/>
      <w:r w:rsidRPr="00815E0E">
        <w:rPr>
          <w:rFonts w:ascii="Times New Roman" w:hAnsi="Times New Roman"/>
          <w:i/>
          <w:lang w:val="it-IT"/>
        </w:rPr>
        <w:t>in</w:t>
      </w:r>
      <w:proofErr w:type="gramEnd"/>
      <w:r w:rsidRPr="00815E0E">
        <w:rPr>
          <w:rFonts w:ascii="Times New Roman" w:hAnsi="Times New Roman"/>
          <w:i/>
          <w:lang w:val="it-IT"/>
        </w:rPr>
        <w:t xml:space="preserve"> cambio di un corrispettivo, per ogni alloggio edificato, calcolato ai sensi del comma 48.</w:t>
      </w:r>
    </w:p>
    <w:p w:rsidR="00AA1631" w:rsidRPr="00815E0E" w:rsidRDefault="00AA1631" w:rsidP="00AA1631">
      <w:pPr>
        <w:pStyle w:val="Paragrafoelenco"/>
        <w:numPr>
          <w:ilvl w:val="0"/>
          <w:numId w:val="1"/>
        </w:numPr>
        <w:spacing w:before="120" w:after="0" w:line="264" w:lineRule="auto"/>
        <w:contextualSpacing w:val="0"/>
        <w:jc w:val="both"/>
        <w:rPr>
          <w:rFonts w:ascii="Times New Roman" w:hAnsi="Times New Roman"/>
          <w:i/>
          <w:lang w:val="it-IT"/>
        </w:rPr>
      </w:pPr>
      <w:r w:rsidRPr="00815E0E">
        <w:rPr>
          <w:rFonts w:ascii="Times New Roman" w:hAnsi="Times New Roman"/>
          <w:b/>
          <w:i/>
          <w:noProof/>
          <w:lang w:val="it-IT"/>
        </w:rPr>
        <w:t xml:space="preserve">47. </w:t>
      </w:r>
      <w:r w:rsidRPr="00815E0E">
        <w:rPr>
          <w:rFonts w:ascii="Times New Roman" w:hAnsi="Times New Roman"/>
          <w:i/>
          <w:iCs/>
          <w:noProof/>
          <w:lang w:val="it-IT" w:eastAsia="it-IT"/>
        </w:rPr>
        <w:t xml:space="preserve">La </w:t>
      </w:r>
      <w:r w:rsidRPr="00815E0E">
        <w:rPr>
          <w:rFonts w:ascii="Times New Roman" w:hAnsi="Times New Roman"/>
          <w:bCs/>
          <w:i/>
          <w:noProof/>
          <w:lang w:val="it-IT"/>
        </w:rPr>
        <w:t>trasformazione del diritto di superficie in diritto di piena proprietà sulle aree può avvenire a seguito di proposta da parte del comune e di accettazione da parte dei singoli proprietari degli alloggi, e loro pertinenze, per la quota millesimale corrispondente. Trascorsi cinque anni dalla data di prima assegnazione dell’unità abitativa, indipendentemente dalla data di stipulazione della relativa convenzione, i soggetti interessati possono presentare, di propria iniziativa, istanza di trasformazione del diritto di superficie in diritto di piena proprietà. Il comune deve rispondere entro novanta giorni dalla data di ricezione dell’istanza pervenendo alla definizione della procedura. La trasformazione del diritto di superficie in diritto di proprietà avviene, dietro pagamento di un corrispettivo determinato ai sensi del comma 48.</w:t>
      </w:r>
    </w:p>
    <w:p w:rsidR="00AA1631" w:rsidRPr="00815E0E" w:rsidRDefault="00AA1631" w:rsidP="00AA1631">
      <w:pPr>
        <w:pStyle w:val="Paragrafoelenco"/>
        <w:numPr>
          <w:ilvl w:val="0"/>
          <w:numId w:val="1"/>
        </w:numPr>
        <w:spacing w:before="120" w:after="0" w:line="264" w:lineRule="auto"/>
        <w:contextualSpacing w:val="0"/>
        <w:jc w:val="both"/>
        <w:rPr>
          <w:rFonts w:ascii="Times New Roman" w:hAnsi="Times New Roman"/>
          <w:i/>
          <w:lang w:val="it-IT"/>
        </w:rPr>
      </w:pPr>
      <w:r w:rsidRPr="00815E0E">
        <w:rPr>
          <w:rFonts w:ascii="Times New Roman" w:hAnsi="Times New Roman"/>
          <w:b/>
          <w:i/>
          <w:noProof/>
          <w:lang w:val="it-IT"/>
        </w:rPr>
        <w:t>48.</w:t>
      </w:r>
      <w:r w:rsidRPr="00815E0E">
        <w:rPr>
          <w:rFonts w:ascii="Times New Roman" w:hAnsi="Times New Roman"/>
          <w:i/>
          <w:noProof/>
          <w:lang w:val="it-IT"/>
        </w:rPr>
        <w:t xml:space="preserve"> Il corrispettivo delle aree cedute in proprietà è determinato dal comune, su parere del proprio ufficio tecnico, in misura pari al 60 per cento di quello determinato ai sensi dell’articolo 5-bis</w:t>
      </w:r>
      <w:r w:rsidRPr="00815E0E">
        <w:rPr>
          <w:rFonts w:ascii="Times New Roman" w:hAnsi="Times New Roman"/>
          <w:b/>
          <w:bCs/>
          <w:i/>
          <w:noProof/>
          <w:vertAlign w:val="superscript"/>
          <w:lang w:val="it-IT"/>
        </w:rPr>
        <w:t>(*)</w:t>
      </w:r>
      <w:r w:rsidRPr="00815E0E">
        <w:rPr>
          <w:rFonts w:ascii="Times New Roman" w:hAnsi="Times New Roman"/>
          <w:i/>
          <w:noProof/>
          <w:lang w:val="it-IT"/>
        </w:rPr>
        <w:t xml:space="preserve">, comma 1, del decreto-legge 11 luglio 1992, n. 333, convertito, con modificazioni, dalla legge 8 agosto 1992, n. 359, escludendo la riduzione prevista dal secondo periodo dello stesso comma, al netto degli oneri di concessione del diritto di superficie, rivalutati sulla base della variazione, accertata dall’ISTAT, dell’indice dei prezzi al consumo per le famiglie di operai e impiegati verificatasi tra il mese in cui sono stati versati i suddetti oneri e quello in cui è stipulato l’atto di cessione delle aree. Comunque il costo dell’area così determinato non può essere maggiore di quello stabilito dal comune per le aree cedute direttamente in proprietà al momento della trasformazione di cui al comma 47, con l’ulteriore limite massimo di euro 5.000 per singola unità abitativa e relative pertinenze avente superficie residenziale catastale fino a 125 metri quadrati e di euro 10.000 per singola unità abitativa e relative pertinenze avente superficie residenziale catastale maggiore di 125 metri quadrati, indipendentemente dall’anno di stipulazione della relativa convenzione. Il consiglio comunale delibera altresì i criteri, le modalità e le condizioni per la concessione di dilazioni di pagamento del corrispettivo di trasformazione. La </w:t>
      </w:r>
      <w:r w:rsidRPr="00815E0E">
        <w:rPr>
          <w:rFonts w:ascii="Times New Roman" w:hAnsi="Times New Roman"/>
          <w:i/>
          <w:noProof/>
          <w:lang w:val="it-IT"/>
        </w:rPr>
        <w:lastRenderedPageBreak/>
        <w:t>trasformazione del diritto di superficie in diritto di proprietà è stipulata con atto pubblico o con scrittura privata autenticata, soggetti a trascrizione presso la conservatoria dei registri immobiliari»;</w:t>
      </w:r>
    </w:p>
    <w:p w:rsidR="00AA1631" w:rsidRPr="00815E0E" w:rsidRDefault="00AA1631" w:rsidP="00AA1631">
      <w:pPr>
        <w:pStyle w:val="Paragrafoelenco"/>
        <w:numPr>
          <w:ilvl w:val="0"/>
          <w:numId w:val="1"/>
        </w:numPr>
        <w:spacing w:before="120" w:after="0" w:line="264" w:lineRule="auto"/>
        <w:contextualSpacing w:val="0"/>
        <w:jc w:val="both"/>
        <w:rPr>
          <w:rFonts w:ascii="Times New Roman" w:hAnsi="Times New Roman"/>
          <w:i/>
          <w:lang w:val="it-IT"/>
        </w:rPr>
      </w:pPr>
      <w:r w:rsidRPr="00815E0E">
        <w:rPr>
          <w:rFonts w:ascii="Times New Roman" w:hAnsi="Times New Roman"/>
          <w:b/>
          <w:i/>
          <w:lang w:val="it-IT"/>
        </w:rPr>
        <w:t>49.</w:t>
      </w:r>
      <w:r w:rsidRPr="00815E0E">
        <w:rPr>
          <w:rFonts w:ascii="Times New Roman" w:hAnsi="Times New Roman"/>
          <w:i/>
          <w:lang w:val="it-IT"/>
        </w:rPr>
        <w:t xml:space="preserve"> È esclusa in ogni caso la retrocessione, dai comuni ai proprietari degli edifici, di somme già versate da questi ultimi e portate in detrazione secondo quanto previsto al comma 48.</w:t>
      </w:r>
    </w:p>
    <w:p w:rsidR="00AA1631" w:rsidRPr="00815E0E" w:rsidRDefault="00AA1631" w:rsidP="00AA1631">
      <w:pPr>
        <w:pStyle w:val="Paragrafoelenco"/>
        <w:numPr>
          <w:ilvl w:val="0"/>
          <w:numId w:val="3"/>
        </w:numPr>
        <w:spacing w:before="120" w:after="0" w:line="264" w:lineRule="auto"/>
        <w:contextualSpacing w:val="0"/>
        <w:jc w:val="both"/>
        <w:rPr>
          <w:rFonts w:ascii="Times New Roman" w:hAnsi="Times New Roman"/>
          <w:bCs/>
          <w:i/>
          <w:lang w:val="it-IT"/>
        </w:rPr>
      </w:pPr>
      <w:r w:rsidRPr="00815E0E">
        <w:rPr>
          <w:rFonts w:ascii="Times New Roman" w:hAnsi="Times New Roman"/>
          <w:b/>
          <w:i/>
          <w:noProof/>
          <w:lang w:val="it-IT"/>
        </w:rPr>
        <w:t>49-bis.</w:t>
      </w:r>
      <w:r w:rsidRPr="00815E0E">
        <w:rPr>
          <w:rFonts w:ascii="Times New Roman" w:hAnsi="Times New Roman"/>
          <w:bCs/>
          <w:i/>
          <w:noProof/>
          <w:lang w:val="it-IT"/>
        </w:rPr>
        <w:t xml:space="preserve"> I vincoli relativi alla determinazione del prezzo massimo di cessione delle singole unità abitative e loro pertinenze nonché del canone massimo di locazione delle stesse, contenuti nelle convenzioni di cui all’articolo 35 della legge 22 ottobre 1971, n. 865, e successive modificazioni, per la cessione del diritto di proprietà o per la cessione del diritto di superficie, possono essere rimossi, dopo che siano trascorsi almeno cinque anni dalla data del primo trasferimento, con atto pubblico o scrittura privata autenticata, stipulati a richiesta delle persone fisiche che vi abbiano interesse, anche se non più titolari di diritti reali sul bene immobile, e soggetti a trascrizione presso la conservatoria dei registri immobiliari, per un corrispettivo proporzionale alla corrispondente quota millesimale, determinato, anche per le unità in diritto di superficie, in misura pari ad una percentuale del corrispettivo determinato ai sensi del comma 48 del presente articolo. In ogni caso, il corrispettivo di affrancazione così determinato non può superare il limite massimo di euro 5.000 per singola unità abitativa e relative pertinenze avente superficie residenziale catastale fino a 125 metri quadrati e di euro 10.000 per singola unità abitativa e relative pertinenze avente superficie residenziale catastale maggiore di 125 metri quadrati. I soggetti interessati possono presentare, di propria iniziativa, istanza di affrancazione dei vincoli relativi alla determinazione del prezzo massimo di cessione delle singole unità abitative e loro pertinenze nonché del canone massimo di locazione delle stesse. Il comune deve rispondere entro novanta giorni dalla data di ricezione dell’istanza. La percentuale di cui al primo periodo del presente comma è stabilita, anche con l’applicazione di eventuali riduzioni in relazione alla durata residua del vincolo, con decreto del Ministro dell’economia e delle finanze, previa intesa in sede di Conferenza unificata ai sensi dell’articolo 9 del decreto legislativo 28 agosto 1997, n. 281. Il decreto di cui al periodo precedente individua altresì i criteri e le modalità per la concessione, da parte dei comuni, di dilazioni di pagamento del corrispettivo di affrancazione dal vincolo. Nel caso in cui il corrispettivo della trasformazione del diritto di superficie in diritto di proprietà e il corrispettivo dell’affrancazione sono determinati in misura corrispondente al limite massimo previsto dal comma 48 e dal presente comma, decade quanto previsto dall’articolo 9 del decreto legislativo n. 281 del 1997 e relativi decreti attuativi del Ministro dell’economia e delle finanze. La deliberazione del consiglio comunale di cui al comma 48 individua altresì i criteri, le modalità e le condizioni per la concessione, da parte del comune, di dilazioni di pagamento del corrispettivo di affrancazione dal vincolo. In ragione del maggior valore patrimoniale dell’immobile, conseguente alle procedure di affrancazione e di trasformazione del diritto di superficie in piena proprietà, le relative quote di spesa possono essere finanziate mediante contrazione di mutuo. Le disposizioni del presente comma non si applicano agli immobili in regime di locazione ai sensi degli articoli da 8 a 10 della legge 17 febbraio 1992, n. 179, compresi nei piani di zona convenzionati</w:t>
      </w:r>
    </w:p>
    <w:p w:rsidR="00AA1631" w:rsidRPr="00815E0E" w:rsidRDefault="00AA1631" w:rsidP="00AA1631">
      <w:pPr>
        <w:pStyle w:val="Paragrafoelenco"/>
        <w:numPr>
          <w:ilvl w:val="0"/>
          <w:numId w:val="3"/>
        </w:numPr>
        <w:spacing w:before="120" w:after="0" w:line="264" w:lineRule="auto"/>
        <w:contextualSpacing w:val="0"/>
        <w:jc w:val="both"/>
        <w:rPr>
          <w:rFonts w:ascii="Times New Roman" w:hAnsi="Times New Roman"/>
          <w:bCs/>
          <w:i/>
          <w:lang w:val="it-IT"/>
        </w:rPr>
      </w:pPr>
      <w:r w:rsidRPr="00815E0E">
        <w:rPr>
          <w:rFonts w:ascii="Times New Roman" w:hAnsi="Times New Roman"/>
          <w:b/>
          <w:i/>
          <w:lang w:val="it-IT"/>
        </w:rPr>
        <w:t>49-ter.</w:t>
      </w:r>
      <w:r w:rsidRPr="00815E0E">
        <w:rPr>
          <w:rFonts w:ascii="Times New Roman" w:hAnsi="Times New Roman"/>
          <w:bCs/>
          <w:i/>
          <w:lang w:val="it-IT"/>
        </w:rPr>
        <w:t xml:space="preserve"> Le disposizioni di cui al comma 49-bis si applicano anche alle convenzioni previste dall’articolo 18 del testo unico di cui al decreto del Presidente della Repubblica 6 giugno 2001, n. 380.</w:t>
      </w:r>
    </w:p>
    <w:p w:rsidR="00AA1631" w:rsidRPr="00815E0E" w:rsidRDefault="00AA1631" w:rsidP="00AA1631">
      <w:pPr>
        <w:pStyle w:val="Paragrafoelenco"/>
        <w:numPr>
          <w:ilvl w:val="0"/>
          <w:numId w:val="3"/>
        </w:numPr>
        <w:spacing w:before="120" w:after="0" w:line="264" w:lineRule="auto"/>
        <w:contextualSpacing w:val="0"/>
        <w:jc w:val="both"/>
        <w:rPr>
          <w:rFonts w:ascii="Times New Roman" w:hAnsi="Times New Roman"/>
          <w:i/>
          <w:lang w:val="it-IT"/>
        </w:rPr>
      </w:pPr>
      <w:r w:rsidRPr="00815E0E">
        <w:rPr>
          <w:rFonts w:ascii="Times New Roman" w:hAnsi="Times New Roman"/>
          <w:b/>
          <w:i/>
          <w:lang w:val="it-IT"/>
        </w:rPr>
        <w:t>49-quater.</w:t>
      </w:r>
      <w:r w:rsidRPr="00815E0E">
        <w:rPr>
          <w:rFonts w:ascii="Times New Roman" w:hAnsi="Times New Roman"/>
          <w:bCs/>
          <w:i/>
          <w:lang w:val="it-IT"/>
        </w:rPr>
        <w:t xml:space="preserve"> In pendenza della rimozione dei vincoli di cui ai commi 49-bis e 49-ter, il contratto di trasferimento dell’immobile non produce effetti limitatamente alla differenza tra il prezzo convenuto e il prezzo vincolato. L’eventuale pretesa di rimborso della predetta differenza, a qualunque titolo richiesto, si estingue con la rimozione dei vincoli secondo le modalità di cui ai commi 49-bis e 49-ter. La rimozione del vincolo del prezzo massimo di cessione comporta altresì la rimozione di qualsiasi vincolo di natura soggettiva.</w:t>
      </w:r>
    </w:p>
    <w:p w:rsidR="00AA1631" w:rsidRPr="00815E0E" w:rsidRDefault="00AA1631" w:rsidP="00AA1631">
      <w:pPr>
        <w:pStyle w:val="Paragrafoelenco"/>
        <w:numPr>
          <w:ilvl w:val="0"/>
          <w:numId w:val="3"/>
        </w:numPr>
        <w:spacing w:before="120" w:after="0" w:line="264" w:lineRule="auto"/>
        <w:contextualSpacing w:val="0"/>
        <w:jc w:val="both"/>
        <w:rPr>
          <w:rFonts w:ascii="Times New Roman" w:hAnsi="Times New Roman"/>
          <w:i/>
          <w:lang w:val="it-IT"/>
        </w:rPr>
      </w:pPr>
      <w:r w:rsidRPr="00815E0E">
        <w:rPr>
          <w:rFonts w:ascii="Times New Roman" w:hAnsi="Times New Roman"/>
          <w:b/>
          <w:i/>
          <w:lang w:val="it-IT"/>
        </w:rPr>
        <w:t>50.</w:t>
      </w:r>
      <w:r w:rsidRPr="00815E0E">
        <w:rPr>
          <w:rFonts w:ascii="Times New Roman" w:hAnsi="Times New Roman"/>
          <w:i/>
          <w:lang w:val="it-IT"/>
        </w:rPr>
        <w:t xml:space="preserve"> Sono abrogati i commi 75, 76, 77, 78, 78-bis e 79 dell’articolo 3 della legge 28 dicembre 1995, n. 549, e successive modificazioni, nonché i commi 61 e 62 dell’articolo 3 della legge 23 dicembre 1996, n. 662.</w:t>
      </w:r>
    </w:p>
    <w:p w:rsidR="00AA1631" w:rsidRPr="00815E0E" w:rsidRDefault="00AA1631" w:rsidP="00AA1631">
      <w:pPr>
        <w:autoSpaceDE w:val="0"/>
        <w:autoSpaceDN w:val="0"/>
        <w:adjustRightInd w:val="0"/>
        <w:spacing w:before="120" w:after="0" w:line="264" w:lineRule="auto"/>
        <w:ind w:left="363"/>
        <w:jc w:val="both"/>
        <w:rPr>
          <w:rFonts w:ascii="Times New Roman" w:hAnsi="Times New Roman"/>
          <w:i/>
          <w:iCs/>
        </w:rPr>
      </w:pPr>
      <w:r w:rsidRPr="00815E0E">
        <w:rPr>
          <w:rFonts w:ascii="Times New Roman" w:hAnsi="Times New Roman"/>
          <w:b/>
          <w:bCs/>
          <w:i/>
          <w:iCs/>
        </w:rPr>
        <w:lastRenderedPageBreak/>
        <w:t>(*)</w:t>
      </w:r>
      <w:r w:rsidRPr="00815E0E">
        <w:rPr>
          <w:rFonts w:ascii="Times New Roman" w:hAnsi="Times New Roman"/>
          <w:i/>
          <w:iCs/>
        </w:rPr>
        <w:t xml:space="preserve"> [1. Fino all'emanazione di un'organica disciplina per tutte le espropriazioni preordinate alla realizzazione di opere o interventi da parte o per conto dello Stato, delle regioni, delle province, dei comuni e degli altri enti pubblici o di diritto pubblico, anche non territoriali, o comunque preordinate alla realizzazione di opere o interventi dichiarati di pubblica utilità, l’indennità di espropriazione per le aree edificabili è determinata a norma dell'articolo 13</w:t>
      </w:r>
      <w:r w:rsidRPr="00815E0E">
        <w:rPr>
          <w:rFonts w:ascii="Times New Roman" w:hAnsi="Times New Roman"/>
          <w:b/>
          <w:bCs/>
          <w:i/>
          <w:iCs/>
          <w:vertAlign w:val="superscript"/>
        </w:rPr>
        <w:t>(**)</w:t>
      </w:r>
      <w:r w:rsidRPr="00815E0E">
        <w:rPr>
          <w:rFonts w:ascii="Times New Roman" w:hAnsi="Times New Roman"/>
          <w:i/>
          <w:iCs/>
        </w:rPr>
        <w:t>, terzo comma, della legge 15 gennaio 1885, n. 2892, sostituendo in ogni caso ai fitti coacervati dell'ultimo decennio il reddito dominicale rivalutato di cui agli articoli 24 e seguenti del testo unico delle imposte sui redditi, approvato con decreto del Presidente della Repubblica 22 dicembre 1986, n. 917. L'importo così determinato è ridotto del 40 per cento.]</w:t>
      </w:r>
    </w:p>
    <w:p w:rsidR="00AA1631" w:rsidRPr="00815E0E" w:rsidRDefault="00AA1631" w:rsidP="00AA1631">
      <w:pPr>
        <w:autoSpaceDE w:val="0"/>
        <w:autoSpaceDN w:val="0"/>
        <w:adjustRightInd w:val="0"/>
        <w:spacing w:before="120" w:after="0" w:line="264" w:lineRule="auto"/>
        <w:ind w:left="363"/>
        <w:jc w:val="both"/>
        <w:rPr>
          <w:rFonts w:ascii="Times New Roman" w:hAnsi="Times New Roman"/>
          <w:i/>
          <w:iCs/>
        </w:rPr>
      </w:pPr>
      <w:r w:rsidRPr="00815E0E">
        <w:rPr>
          <w:rFonts w:ascii="Times New Roman" w:hAnsi="Times New Roman"/>
          <w:b/>
          <w:bCs/>
          <w:i/>
          <w:iCs/>
        </w:rPr>
        <w:t>(**)</w:t>
      </w:r>
      <w:r w:rsidRPr="00815E0E">
        <w:rPr>
          <w:rFonts w:ascii="Times New Roman" w:hAnsi="Times New Roman"/>
          <w:i/>
          <w:iCs/>
        </w:rPr>
        <w:t xml:space="preserve"> [3. L’indennità dovuta ai proprietari degl'immobili espropriati sarà determinata sulla media del valore venale e dei fitti coacervati dell'ultimo decennio, purché' essi abbiano la data certa, corrispondente al rispettivo anno di locazione.]</w:t>
      </w:r>
    </w:p>
    <w:p w:rsidR="00AA1631" w:rsidRPr="00815E0E" w:rsidRDefault="00AA1631" w:rsidP="00AA1631">
      <w:pPr>
        <w:pStyle w:val="Paragrafoelenco"/>
        <w:spacing w:before="120" w:after="0" w:line="264" w:lineRule="auto"/>
        <w:ind w:left="0"/>
        <w:contextualSpacing w:val="0"/>
        <w:jc w:val="both"/>
        <w:rPr>
          <w:rFonts w:ascii="Times New Roman" w:hAnsi="Times New Roman"/>
          <w:lang w:val="it-IT" w:eastAsia="it-IT"/>
        </w:rPr>
      </w:pPr>
      <w:r w:rsidRPr="00815E0E">
        <w:rPr>
          <w:rFonts w:ascii="Times New Roman" w:hAnsi="Times New Roman"/>
          <w:lang w:val="it-IT" w:eastAsia="it-IT"/>
        </w:rPr>
        <w:t xml:space="preserve">Inoltre, con </w:t>
      </w:r>
      <w:bookmarkStart w:id="0" w:name="_Hlk73277193"/>
      <w:r w:rsidRPr="00815E0E">
        <w:rPr>
          <w:rFonts w:ascii="Times New Roman" w:hAnsi="Times New Roman"/>
          <w:lang w:val="it-IT" w:eastAsia="it-IT"/>
        </w:rPr>
        <w:t xml:space="preserve">Decreto 28 settembre 2020, n. 151 “Regolamento recante rimozione dai vincoli di prezzo gravanti sugli immobili costruiti in regime di edilizia convenzionata” il Ministero dell’Economia e delle Finanze </w:t>
      </w:r>
      <w:bookmarkEnd w:id="0"/>
      <w:r w:rsidRPr="00815E0E">
        <w:rPr>
          <w:rFonts w:ascii="Times New Roman" w:hAnsi="Times New Roman"/>
          <w:lang w:val="it-IT" w:eastAsia="it-IT"/>
        </w:rPr>
        <w:t xml:space="preserve">ha stabilito </w:t>
      </w:r>
      <w:r w:rsidRPr="00815E0E">
        <w:rPr>
          <w:rFonts w:ascii="Times New Roman" w:hAnsi="Times New Roman"/>
          <w:lang w:val="it-IT"/>
        </w:rPr>
        <w:t>che</w:t>
      </w:r>
      <w:r w:rsidRPr="00815E0E">
        <w:rPr>
          <w:rFonts w:ascii="Times New Roman" w:hAnsi="Times New Roman"/>
          <w:lang w:val="it-IT" w:eastAsia="it-IT"/>
        </w:rPr>
        <w:t>:</w:t>
      </w:r>
    </w:p>
    <w:p w:rsidR="00AA1631" w:rsidRPr="00815E0E" w:rsidRDefault="00AA1631" w:rsidP="00AA1631">
      <w:pPr>
        <w:autoSpaceDE w:val="0"/>
        <w:autoSpaceDN w:val="0"/>
        <w:adjustRightInd w:val="0"/>
        <w:spacing w:before="120" w:after="0" w:line="264" w:lineRule="auto"/>
        <w:jc w:val="both"/>
        <w:rPr>
          <w:rFonts w:ascii="Times New Roman" w:hAnsi="Times New Roman"/>
        </w:rPr>
      </w:pPr>
      <w:r w:rsidRPr="00815E0E">
        <w:rPr>
          <w:rFonts w:ascii="Times New Roman" w:hAnsi="Times New Roman"/>
        </w:rPr>
        <w:t xml:space="preserve">Art. 1 - </w:t>
      </w:r>
      <w:r w:rsidRPr="00815E0E">
        <w:rPr>
          <w:rFonts w:ascii="Times New Roman" w:hAnsi="Times New Roman"/>
          <w:i/>
          <w:iCs/>
        </w:rPr>
        <w:t>Corrispettivo per la rimozione dei vincoli di prezzo massimo di cessione nonché di canone massimo di locazione</w:t>
      </w:r>
      <w:r w:rsidRPr="00815E0E">
        <w:rPr>
          <w:rFonts w:ascii="Times New Roman" w:hAnsi="Times New Roman"/>
        </w:rPr>
        <w:t xml:space="preserve"> </w:t>
      </w:r>
    </w:p>
    <w:p w:rsidR="00AA1631" w:rsidRPr="00815E0E" w:rsidRDefault="00AA1631" w:rsidP="00AA1631">
      <w:pPr>
        <w:numPr>
          <w:ilvl w:val="0"/>
          <w:numId w:val="10"/>
        </w:numPr>
        <w:autoSpaceDE w:val="0"/>
        <w:autoSpaceDN w:val="0"/>
        <w:adjustRightInd w:val="0"/>
        <w:spacing w:before="40" w:after="0" w:line="264" w:lineRule="auto"/>
        <w:ind w:left="357" w:hanging="357"/>
        <w:jc w:val="both"/>
        <w:rPr>
          <w:rFonts w:ascii="Times New Roman" w:hAnsi="Times New Roman"/>
          <w:i/>
          <w:iCs/>
        </w:rPr>
      </w:pPr>
      <w:r w:rsidRPr="00815E0E">
        <w:rPr>
          <w:rFonts w:ascii="Times New Roman" w:hAnsi="Times New Roman"/>
          <w:i/>
          <w:iCs/>
        </w:rPr>
        <w:t xml:space="preserve">Il corrispettivo per la rimozione dei vincoli di cui all’articolo 31, commi 49-bis, 49-ter, 49-quater della legge 23 dicembre 1998, n. 448, è pari al cinquanta per cento del corrispettivo, proporzionale alla corrispondente quota millesimale propria di ciascuna unità immobiliare, risultante dall’applicazione del comma 48 del predetto articolo 31, ed è ridotto applicando un coefficiente moltiplicativo di riduzione calcolato in misura pari alla differenza tra il numero degli anni di durata della convenzione e il numero di anni, o frazione di essi, trascorsi dalla data di stipula della convenzione, rapportata alla medesima durata, secondo la formula indicata al comma 2. </w:t>
      </w:r>
    </w:p>
    <w:p w:rsidR="00AA1631" w:rsidRPr="00815E0E" w:rsidRDefault="00AA1631" w:rsidP="00AA1631">
      <w:pPr>
        <w:numPr>
          <w:ilvl w:val="0"/>
          <w:numId w:val="10"/>
        </w:numPr>
        <w:autoSpaceDE w:val="0"/>
        <w:autoSpaceDN w:val="0"/>
        <w:adjustRightInd w:val="0"/>
        <w:spacing w:before="40" w:after="0" w:line="264" w:lineRule="auto"/>
        <w:ind w:left="357" w:hanging="357"/>
        <w:jc w:val="both"/>
        <w:rPr>
          <w:rFonts w:ascii="Times New Roman" w:hAnsi="Times New Roman"/>
          <w:i/>
          <w:iCs/>
        </w:rPr>
      </w:pPr>
      <w:r w:rsidRPr="00815E0E">
        <w:rPr>
          <w:rFonts w:ascii="Times New Roman" w:hAnsi="Times New Roman"/>
          <w:i/>
          <w:iCs/>
        </w:rPr>
        <w:t xml:space="preserve">Al fine di determinare la riduzione il corrispettivo di cui al comma 1, si applica la seguente formula: </w:t>
      </w:r>
    </w:p>
    <w:p w:rsidR="00AA1631" w:rsidRPr="00815E0E" w:rsidRDefault="00AA1631" w:rsidP="00AA1631">
      <w:pPr>
        <w:autoSpaceDE w:val="0"/>
        <w:autoSpaceDN w:val="0"/>
        <w:adjustRightInd w:val="0"/>
        <w:spacing w:before="120" w:after="120" w:line="264" w:lineRule="auto"/>
        <w:ind w:left="357"/>
        <w:jc w:val="center"/>
        <w:rPr>
          <w:rFonts w:ascii="Times New Roman" w:hAnsi="Times New Roman"/>
          <w:i/>
          <w:iCs/>
          <w:lang w:val="en-AU"/>
        </w:rPr>
      </w:pPr>
      <w:r w:rsidRPr="00815E0E">
        <w:rPr>
          <w:rFonts w:ascii="Times New Roman" w:hAnsi="Times New Roman"/>
          <w:i/>
          <w:iCs/>
          <w:lang w:val="en-AU"/>
        </w:rPr>
        <w:t>CRV = Cc.</w:t>
      </w:r>
      <w:r w:rsidRPr="00815E0E">
        <w:rPr>
          <w:rFonts w:ascii="Times New Roman" w:hAnsi="Times New Roman"/>
          <w:i/>
          <w:iCs/>
          <w:vertAlign w:val="subscript"/>
          <w:lang w:val="en-AU"/>
        </w:rPr>
        <w:t>48</w:t>
      </w:r>
      <w:r w:rsidRPr="00815E0E">
        <w:rPr>
          <w:rFonts w:ascii="Times New Roman" w:hAnsi="Times New Roman"/>
          <w:i/>
          <w:iCs/>
          <w:lang w:val="en-AU"/>
        </w:rPr>
        <w:t>*QM*0</w:t>
      </w:r>
      <w:proofErr w:type="gramStart"/>
      <w:r w:rsidRPr="00815E0E">
        <w:rPr>
          <w:rFonts w:ascii="Times New Roman" w:hAnsi="Times New Roman"/>
          <w:i/>
          <w:iCs/>
          <w:lang w:val="en-AU"/>
        </w:rPr>
        <w:t>,5</w:t>
      </w:r>
      <w:proofErr w:type="gramEnd"/>
      <w:r w:rsidRPr="00815E0E">
        <w:rPr>
          <w:rFonts w:ascii="Times New Roman" w:hAnsi="Times New Roman"/>
          <w:i/>
          <w:iCs/>
          <w:lang w:val="en-AU"/>
        </w:rPr>
        <w:t>*(ADC - ATC)/ADC</w:t>
      </w:r>
    </w:p>
    <w:p w:rsidR="00AA1631" w:rsidRPr="00815E0E" w:rsidRDefault="00AA1631" w:rsidP="00AA1631">
      <w:pPr>
        <w:autoSpaceDE w:val="0"/>
        <w:autoSpaceDN w:val="0"/>
        <w:adjustRightInd w:val="0"/>
        <w:spacing w:before="20" w:after="0" w:line="264" w:lineRule="auto"/>
        <w:ind w:left="357"/>
        <w:jc w:val="both"/>
        <w:rPr>
          <w:rFonts w:ascii="Times New Roman" w:hAnsi="Times New Roman"/>
          <w:i/>
          <w:iCs/>
        </w:rPr>
      </w:pPr>
      <w:r w:rsidRPr="00815E0E">
        <w:rPr>
          <w:rFonts w:ascii="Times New Roman" w:hAnsi="Times New Roman"/>
          <w:i/>
          <w:iCs/>
        </w:rPr>
        <w:t xml:space="preserve">CRV = Corrispettivo rimozione vincoli </w:t>
      </w:r>
    </w:p>
    <w:p w:rsidR="00AA1631" w:rsidRPr="00815E0E" w:rsidRDefault="00AA1631" w:rsidP="00AA1631">
      <w:pPr>
        <w:autoSpaceDE w:val="0"/>
        <w:autoSpaceDN w:val="0"/>
        <w:adjustRightInd w:val="0"/>
        <w:spacing w:before="20" w:after="0" w:line="264" w:lineRule="auto"/>
        <w:ind w:left="357"/>
        <w:jc w:val="both"/>
        <w:rPr>
          <w:rFonts w:ascii="Times New Roman" w:hAnsi="Times New Roman"/>
          <w:i/>
          <w:iCs/>
        </w:rPr>
      </w:pPr>
      <w:r w:rsidRPr="00815E0E">
        <w:rPr>
          <w:rFonts w:ascii="Times New Roman" w:hAnsi="Times New Roman"/>
          <w:i/>
          <w:iCs/>
        </w:rPr>
        <w:t>Cc.</w:t>
      </w:r>
      <w:r w:rsidRPr="00815E0E">
        <w:rPr>
          <w:rFonts w:ascii="Times New Roman" w:hAnsi="Times New Roman"/>
          <w:i/>
          <w:iCs/>
          <w:vertAlign w:val="subscript"/>
        </w:rPr>
        <w:t>48</w:t>
      </w:r>
      <w:r w:rsidRPr="00815E0E">
        <w:rPr>
          <w:rFonts w:ascii="Times New Roman" w:hAnsi="Times New Roman"/>
          <w:i/>
          <w:iCs/>
        </w:rPr>
        <w:t xml:space="preserve"> = Corrispettivo risultante dall’applicazione dell’articolo 31, comma 48, della legge n. 448 del 1998 </w:t>
      </w:r>
    </w:p>
    <w:p w:rsidR="00AA1631" w:rsidRPr="00815E0E" w:rsidRDefault="00AA1631" w:rsidP="00AA1631">
      <w:pPr>
        <w:autoSpaceDE w:val="0"/>
        <w:autoSpaceDN w:val="0"/>
        <w:adjustRightInd w:val="0"/>
        <w:spacing w:before="20" w:after="0" w:line="264" w:lineRule="auto"/>
        <w:ind w:left="357"/>
        <w:jc w:val="both"/>
        <w:rPr>
          <w:rFonts w:ascii="Times New Roman" w:hAnsi="Times New Roman"/>
          <w:i/>
          <w:iCs/>
        </w:rPr>
      </w:pPr>
      <w:r w:rsidRPr="00815E0E">
        <w:rPr>
          <w:rFonts w:ascii="Times New Roman" w:hAnsi="Times New Roman"/>
          <w:i/>
          <w:iCs/>
        </w:rPr>
        <w:t xml:space="preserve">QM = Quota millesimale dell’unità immobiliare </w:t>
      </w:r>
    </w:p>
    <w:p w:rsidR="00AA1631" w:rsidRPr="00815E0E" w:rsidRDefault="00AA1631" w:rsidP="00AA1631">
      <w:pPr>
        <w:autoSpaceDE w:val="0"/>
        <w:autoSpaceDN w:val="0"/>
        <w:adjustRightInd w:val="0"/>
        <w:spacing w:before="20" w:after="0" w:line="264" w:lineRule="auto"/>
        <w:ind w:left="357"/>
        <w:jc w:val="both"/>
        <w:rPr>
          <w:rFonts w:ascii="Times New Roman" w:hAnsi="Times New Roman"/>
          <w:i/>
          <w:iCs/>
        </w:rPr>
      </w:pPr>
      <w:r w:rsidRPr="00815E0E">
        <w:rPr>
          <w:rFonts w:ascii="Times New Roman" w:hAnsi="Times New Roman"/>
          <w:i/>
          <w:iCs/>
        </w:rPr>
        <w:t xml:space="preserve">ADC = Numero degli anni di durata della convenzione </w:t>
      </w:r>
    </w:p>
    <w:p w:rsidR="00AA1631" w:rsidRPr="00815E0E" w:rsidRDefault="00AA1631" w:rsidP="00AA1631">
      <w:pPr>
        <w:autoSpaceDE w:val="0"/>
        <w:autoSpaceDN w:val="0"/>
        <w:adjustRightInd w:val="0"/>
        <w:spacing w:before="20" w:after="0" w:line="264" w:lineRule="auto"/>
        <w:ind w:left="357"/>
        <w:jc w:val="both"/>
        <w:rPr>
          <w:rFonts w:ascii="Times New Roman" w:hAnsi="Times New Roman"/>
          <w:i/>
          <w:iCs/>
        </w:rPr>
      </w:pPr>
      <w:r w:rsidRPr="00815E0E">
        <w:rPr>
          <w:rFonts w:ascii="Times New Roman" w:hAnsi="Times New Roman"/>
          <w:i/>
          <w:iCs/>
        </w:rPr>
        <w:t xml:space="preserve">ATC = Numero di anni, o frazione di essi, trascorsi dalla data di stipula della convenzione, fino alla durata massima della convenzione. </w:t>
      </w:r>
    </w:p>
    <w:p w:rsidR="00AA1631" w:rsidRPr="00815E0E" w:rsidRDefault="00AA1631" w:rsidP="00AA1631">
      <w:pPr>
        <w:numPr>
          <w:ilvl w:val="0"/>
          <w:numId w:val="10"/>
        </w:numPr>
        <w:autoSpaceDE w:val="0"/>
        <w:autoSpaceDN w:val="0"/>
        <w:adjustRightInd w:val="0"/>
        <w:spacing w:before="40" w:after="0" w:line="264" w:lineRule="auto"/>
        <w:ind w:left="357" w:hanging="357"/>
        <w:jc w:val="both"/>
        <w:rPr>
          <w:rFonts w:ascii="Times New Roman" w:hAnsi="Times New Roman"/>
          <w:i/>
          <w:iCs/>
        </w:rPr>
      </w:pPr>
      <w:r w:rsidRPr="00815E0E">
        <w:rPr>
          <w:rFonts w:ascii="Times New Roman" w:hAnsi="Times New Roman"/>
          <w:i/>
          <w:iCs/>
        </w:rPr>
        <w:t>In caso di convenzione avente ad oggetto la cessione del diritto di superficie e durata compresa tra 60 e 99 anni, il valore CRV di cui al comma 2 è moltiplicato per un coefficiente di riduzione pari a 0,5, secondo la seguente formula:</w:t>
      </w:r>
    </w:p>
    <w:p w:rsidR="00AA1631" w:rsidRPr="00815E0E" w:rsidRDefault="00AA1631" w:rsidP="00AA1631">
      <w:pPr>
        <w:autoSpaceDE w:val="0"/>
        <w:autoSpaceDN w:val="0"/>
        <w:adjustRightInd w:val="0"/>
        <w:spacing w:before="120" w:after="120" w:line="264" w:lineRule="auto"/>
        <w:ind w:left="357"/>
        <w:jc w:val="center"/>
        <w:rPr>
          <w:rFonts w:ascii="Times New Roman" w:hAnsi="Times New Roman"/>
          <w:i/>
          <w:iCs/>
        </w:rPr>
      </w:pPr>
      <w:proofErr w:type="spellStart"/>
      <w:r w:rsidRPr="00815E0E">
        <w:rPr>
          <w:rFonts w:ascii="Times New Roman" w:hAnsi="Times New Roman"/>
          <w:i/>
          <w:iCs/>
        </w:rPr>
        <w:t>CRV</w:t>
      </w:r>
      <w:r w:rsidRPr="00815E0E">
        <w:rPr>
          <w:rFonts w:ascii="Times New Roman" w:hAnsi="Times New Roman"/>
          <w:i/>
          <w:iCs/>
          <w:vertAlign w:val="subscript"/>
        </w:rPr>
        <w:t>s</w:t>
      </w:r>
      <w:proofErr w:type="spellEnd"/>
      <w:r w:rsidRPr="00815E0E">
        <w:rPr>
          <w:rFonts w:ascii="Times New Roman" w:hAnsi="Times New Roman"/>
          <w:i/>
          <w:iCs/>
        </w:rPr>
        <w:t xml:space="preserve"> = CRV* 0,5</w:t>
      </w:r>
    </w:p>
    <w:p w:rsidR="00AA1631" w:rsidRPr="00815E0E" w:rsidRDefault="00AA1631" w:rsidP="00AA1631">
      <w:pPr>
        <w:autoSpaceDE w:val="0"/>
        <w:autoSpaceDN w:val="0"/>
        <w:adjustRightInd w:val="0"/>
        <w:spacing w:before="20" w:after="0" w:line="264" w:lineRule="auto"/>
        <w:ind w:left="357"/>
        <w:jc w:val="both"/>
        <w:rPr>
          <w:rFonts w:ascii="Times New Roman" w:hAnsi="Times New Roman"/>
          <w:i/>
          <w:iCs/>
        </w:rPr>
      </w:pPr>
      <w:proofErr w:type="spellStart"/>
      <w:r w:rsidRPr="00815E0E">
        <w:rPr>
          <w:rFonts w:ascii="Times New Roman" w:hAnsi="Times New Roman"/>
          <w:i/>
          <w:iCs/>
        </w:rPr>
        <w:t>CRV</w:t>
      </w:r>
      <w:r w:rsidRPr="00815E0E">
        <w:rPr>
          <w:rFonts w:ascii="Times New Roman" w:hAnsi="Times New Roman"/>
          <w:i/>
          <w:iCs/>
          <w:vertAlign w:val="subscript"/>
        </w:rPr>
        <w:t>s</w:t>
      </w:r>
      <w:proofErr w:type="spellEnd"/>
      <w:r w:rsidRPr="00815E0E">
        <w:rPr>
          <w:rFonts w:ascii="Times New Roman" w:hAnsi="Times New Roman"/>
          <w:i/>
          <w:iCs/>
        </w:rPr>
        <w:t xml:space="preserve"> = Corrispettivo rimozione vincoli convenzioni cessione diritto di superficie </w:t>
      </w:r>
    </w:p>
    <w:p w:rsidR="00AA1631" w:rsidRPr="00815E0E" w:rsidRDefault="00AA1631" w:rsidP="00AA1631">
      <w:pPr>
        <w:numPr>
          <w:ilvl w:val="0"/>
          <w:numId w:val="10"/>
        </w:numPr>
        <w:autoSpaceDE w:val="0"/>
        <w:autoSpaceDN w:val="0"/>
        <w:adjustRightInd w:val="0"/>
        <w:spacing w:before="40" w:after="0" w:line="264" w:lineRule="auto"/>
        <w:ind w:left="357" w:hanging="357"/>
        <w:jc w:val="both"/>
        <w:rPr>
          <w:rFonts w:ascii="Times New Roman" w:hAnsi="Times New Roman"/>
          <w:i/>
          <w:iCs/>
        </w:rPr>
      </w:pPr>
      <w:r w:rsidRPr="00815E0E">
        <w:rPr>
          <w:rFonts w:ascii="Times New Roman" w:hAnsi="Times New Roman"/>
          <w:i/>
          <w:iCs/>
        </w:rPr>
        <w:t>Il vincolo è rimosso, anche ai fini dell’estinzione delle pretese di rimborso di cui all’articolo 31, comma 49-quater, secondo periodo, della legge 23 dicembre 1998, n. 448, per effetto della stipula della convenzione tra le parti.</w:t>
      </w:r>
    </w:p>
    <w:p w:rsidR="00AA1631" w:rsidRPr="00815E0E" w:rsidRDefault="00AA1631" w:rsidP="00AA1631">
      <w:pPr>
        <w:autoSpaceDE w:val="0"/>
        <w:autoSpaceDN w:val="0"/>
        <w:adjustRightInd w:val="0"/>
        <w:spacing w:before="120" w:after="0" w:line="264" w:lineRule="auto"/>
        <w:jc w:val="both"/>
        <w:rPr>
          <w:rFonts w:ascii="Times New Roman" w:hAnsi="Times New Roman"/>
        </w:rPr>
      </w:pPr>
      <w:r w:rsidRPr="00815E0E">
        <w:rPr>
          <w:rFonts w:ascii="Times New Roman" w:hAnsi="Times New Roman"/>
        </w:rPr>
        <w:t xml:space="preserve">Art. 2 - </w:t>
      </w:r>
      <w:r w:rsidRPr="00815E0E">
        <w:rPr>
          <w:rFonts w:ascii="Times New Roman" w:hAnsi="Times New Roman"/>
          <w:i/>
          <w:iCs/>
        </w:rPr>
        <w:t>Dilazione di pagamento</w:t>
      </w:r>
      <w:r w:rsidRPr="00815E0E">
        <w:rPr>
          <w:rFonts w:ascii="Times New Roman" w:hAnsi="Times New Roman"/>
        </w:rPr>
        <w:t xml:space="preserve"> </w:t>
      </w:r>
    </w:p>
    <w:p w:rsidR="00AA1631" w:rsidRPr="00815E0E" w:rsidRDefault="00AA1631" w:rsidP="00AA1631">
      <w:pPr>
        <w:numPr>
          <w:ilvl w:val="0"/>
          <w:numId w:val="11"/>
        </w:numPr>
        <w:autoSpaceDE w:val="0"/>
        <w:autoSpaceDN w:val="0"/>
        <w:adjustRightInd w:val="0"/>
        <w:spacing w:before="60" w:after="0" w:line="264" w:lineRule="auto"/>
        <w:ind w:left="357" w:hanging="357"/>
        <w:jc w:val="both"/>
        <w:rPr>
          <w:rFonts w:ascii="Times New Roman" w:hAnsi="Times New Roman"/>
          <w:i/>
          <w:iCs/>
        </w:rPr>
      </w:pPr>
      <w:r w:rsidRPr="00815E0E">
        <w:rPr>
          <w:rFonts w:ascii="Times New Roman" w:hAnsi="Times New Roman"/>
          <w:i/>
          <w:iCs/>
        </w:rPr>
        <w:t xml:space="preserve">Su richiesta di parte, il comune concede una dilazione di pagamento del corrispettivo, maggiorato degli interessi legali, previa presentazione di una garanzia fideiussoria rilasciata da imprese bancarie o assicurative che rispondano ai requisiti di solvibilità previsti dalle norme che ne disciplinano le rispettive attività o rilasciata da intermediari finanziari iscritti all’albo di cui all’articolo 106 del decreto legislativo 1° settembre 1993, n. 385, che abbiano i requisiti minimi di solvibilità richiesti dalla vigente normativa bancaria assicurativa. </w:t>
      </w:r>
    </w:p>
    <w:p w:rsidR="00AA1631" w:rsidRPr="00815E0E" w:rsidRDefault="00AA1631" w:rsidP="00AA1631">
      <w:pPr>
        <w:numPr>
          <w:ilvl w:val="0"/>
          <w:numId w:val="11"/>
        </w:numPr>
        <w:autoSpaceDE w:val="0"/>
        <w:autoSpaceDN w:val="0"/>
        <w:adjustRightInd w:val="0"/>
        <w:spacing w:before="60" w:after="0" w:line="264" w:lineRule="auto"/>
        <w:ind w:left="357" w:hanging="357"/>
        <w:jc w:val="both"/>
        <w:rPr>
          <w:rFonts w:ascii="Times New Roman" w:hAnsi="Times New Roman"/>
          <w:i/>
          <w:iCs/>
        </w:rPr>
      </w:pPr>
      <w:r w:rsidRPr="00815E0E">
        <w:rPr>
          <w:rFonts w:ascii="Times New Roman" w:hAnsi="Times New Roman"/>
          <w:i/>
          <w:iCs/>
        </w:rPr>
        <w:lastRenderedPageBreak/>
        <w:t xml:space="preserve">La garanzia a prima richiesta deve espressamente prevedere la rinuncia al beneficio della preventiva escussione del debitore principale di cui all’articolo 1944, secondo comma, del Codice civile, la rinuncia all’eccezione di cui all’articolo 1957, secondo comma, del codice civile, nonché la facoltà del comune di chiedere l’adempimento da parte del garante a semplice richiesta scritta, entro quindici giorni dalla scadenza del termine di pagamento di una rata mensile. </w:t>
      </w:r>
    </w:p>
    <w:p w:rsidR="00AA1631" w:rsidRPr="00815E0E" w:rsidRDefault="00AA1631" w:rsidP="00AA1631">
      <w:pPr>
        <w:numPr>
          <w:ilvl w:val="0"/>
          <w:numId w:val="11"/>
        </w:numPr>
        <w:autoSpaceDE w:val="0"/>
        <w:autoSpaceDN w:val="0"/>
        <w:adjustRightInd w:val="0"/>
        <w:spacing w:before="60" w:after="0" w:line="264" w:lineRule="auto"/>
        <w:ind w:left="357" w:hanging="357"/>
        <w:jc w:val="both"/>
        <w:rPr>
          <w:rFonts w:ascii="Times New Roman" w:hAnsi="Times New Roman"/>
          <w:i/>
          <w:iCs/>
        </w:rPr>
      </w:pPr>
      <w:r w:rsidRPr="00815E0E">
        <w:rPr>
          <w:rFonts w:ascii="Times New Roman" w:hAnsi="Times New Roman"/>
          <w:i/>
          <w:iCs/>
        </w:rPr>
        <w:t>In caso di concessione della dilazione di pagamento, la stipulazione e la trascrizione della convenzione di rimozione del vincolo, presso l’ufficio dell’Agenzia delle entrate territorialmente competente, ai sensi dell’articolo 2645-quater del codice civile, possono essere effettuate dopo il pagamento della prima rata.</w:t>
      </w:r>
    </w:p>
    <w:p w:rsidR="00AA1631" w:rsidRPr="00815E0E" w:rsidRDefault="00AA1631" w:rsidP="00AA1631">
      <w:pPr>
        <w:pStyle w:val="Stile"/>
        <w:numPr>
          <w:ilvl w:val="0"/>
          <w:numId w:val="9"/>
        </w:numPr>
        <w:shd w:val="clear" w:color="auto" w:fill="FFFFFE"/>
        <w:spacing w:before="360" w:line="264" w:lineRule="auto"/>
        <w:ind w:right="51"/>
        <w:jc w:val="both"/>
        <w:rPr>
          <w:b/>
          <w:sz w:val="22"/>
          <w:szCs w:val="22"/>
          <w:u w:val="single"/>
          <w:shd w:val="clear" w:color="auto" w:fill="FFFFFE"/>
          <w:lang w:bidi="he-IL"/>
        </w:rPr>
      </w:pPr>
      <w:r w:rsidRPr="00815E0E">
        <w:rPr>
          <w:b/>
          <w:sz w:val="22"/>
          <w:szCs w:val="22"/>
          <w:u w:val="single"/>
          <w:shd w:val="clear" w:color="auto" w:fill="FFFFFE"/>
          <w:lang w:bidi="he-IL"/>
        </w:rPr>
        <w:t xml:space="preserve">PROCEDIMENTO TECNICO AMMINISTRATIVO. </w:t>
      </w:r>
    </w:p>
    <w:p w:rsidR="00AA1631" w:rsidRPr="00815E0E" w:rsidRDefault="00AA1631" w:rsidP="00AA1631">
      <w:pPr>
        <w:autoSpaceDE w:val="0"/>
        <w:autoSpaceDN w:val="0"/>
        <w:adjustRightInd w:val="0"/>
        <w:spacing w:before="120" w:after="0" w:line="264" w:lineRule="auto"/>
        <w:jc w:val="both"/>
        <w:rPr>
          <w:rFonts w:ascii="Times New Roman" w:hAnsi="Times New Roman"/>
        </w:rPr>
      </w:pPr>
      <w:r w:rsidRPr="00815E0E">
        <w:rPr>
          <w:rFonts w:ascii="Times New Roman" w:hAnsi="Times New Roman"/>
        </w:rPr>
        <w:t xml:space="preserve">Il procedimento tecnico amministrativo per la trasformazione del diritto di superficie in diritto di proprietà e la rimozione dei vincoli relativi alla determinazione del prezzo massimo di cessione delle singole unità abitative e loro pertinenze nonché del canone massimo di locazione, </w:t>
      </w:r>
      <w:r w:rsidRPr="00815E0E">
        <w:rPr>
          <w:rFonts w:ascii="Times New Roman" w:hAnsi="Times New Roman"/>
          <w:bCs/>
        </w:rPr>
        <w:t>previa deliberazione di Consiglio Comunale con la quale sono state individuate le aree da trasformare nonché i criteri e lo schema di convenzione/atto  sostitutivi della convenzione</w:t>
      </w:r>
      <w:r w:rsidRPr="00815E0E">
        <w:rPr>
          <w:rFonts w:ascii="Times New Roman" w:hAnsi="Times New Roman"/>
          <w:b/>
          <w:bCs/>
        </w:rPr>
        <w:t xml:space="preserve"> </w:t>
      </w:r>
      <w:r w:rsidRPr="00815E0E">
        <w:rPr>
          <w:rFonts w:ascii="Times New Roman" w:hAnsi="Times New Roman"/>
          <w:bCs/>
        </w:rPr>
        <w:t>vigente</w:t>
      </w:r>
      <w:r w:rsidRPr="00815E0E">
        <w:rPr>
          <w:rFonts w:ascii="Times New Roman" w:hAnsi="Times New Roman"/>
          <w:b/>
          <w:bCs/>
        </w:rPr>
        <w:t xml:space="preserve">, </w:t>
      </w:r>
      <w:r w:rsidRPr="00815E0E">
        <w:rPr>
          <w:rFonts w:ascii="Times New Roman" w:hAnsi="Times New Roman"/>
        </w:rPr>
        <w:t>si avvierà ad istanza di parte (</w:t>
      </w:r>
      <w:r w:rsidRPr="00815E0E">
        <w:rPr>
          <w:rFonts w:ascii="Times New Roman" w:hAnsi="Times New Roman"/>
          <w:i/>
        </w:rPr>
        <w:t>“a richiesta del singolo proprietario”</w:t>
      </w:r>
      <w:r w:rsidRPr="00815E0E">
        <w:rPr>
          <w:rFonts w:ascii="Times New Roman" w:hAnsi="Times New Roman"/>
        </w:rPr>
        <w:t>), che dovrà presentare apposita istanza sulla base della modulistica appositamente predisposta, a cui seguirà, ad avvenuto pagamento del corrispettivo dovuto, la stipula di nuova convenzione modificativa di quella ancora vigente.</w:t>
      </w:r>
    </w:p>
    <w:p w:rsidR="00AA1631" w:rsidRPr="00815E0E" w:rsidRDefault="00AA1631" w:rsidP="00AA1631">
      <w:pPr>
        <w:autoSpaceDE w:val="0"/>
        <w:autoSpaceDN w:val="0"/>
        <w:adjustRightInd w:val="0"/>
        <w:spacing w:before="120" w:after="0" w:line="264" w:lineRule="auto"/>
        <w:jc w:val="both"/>
        <w:rPr>
          <w:rFonts w:ascii="Times New Roman" w:hAnsi="Times New Roman"/>
        </w:rPr>
      </w:pPr>
      <w:r w:rsidRPr="00815E0E">
        <w:rPr>
          <w:rFonts w:ascii="Times New Roman" w:hAnsi="Times New Roman"/>
        </w:rPr>
        <w:t>Entro 30 (trenta) giorni dalla data di ricevimento della domanda, se completa o dalla data di completamento della stessa e, sulla base dei conteggi effettuati dall’Ufficio Tecnico, il Comune, trasmetterà al richiedente una comunicazione contenente l’ammontare complessivo del corrispettivo da versare.</w:t>
      </w:r>
    </w:p>
    <w:p w:rsidR="00AA1631" w:rsidRPr="00815E0E" w:rsidRDefault="00AA1631" w:rsidP="00AA1631">
      <w:pPr>
        <w:autoSpaceDE w:val="0"/>
        <w:autoSpaceDN w:val="0"/>
        <w:adjustRightInd w:val="0"/>
        <w:spacing w:before="120" w:after="0" w:line="264" w:lineRule="auto"/>
        <w:jc w:val="both"/>
        <w:rPr>
          <w:rFonts w:ascii="Times New Roman" w:hAnsi="Times New Roman"/>
        </w:rPr>
      </w:pPr>
      <w:r w:rsidRPr="00815E0E">
        <w:rPr>
          <w:rFonts w:ascii="Times New Roman" w:hAnsi="Times New Roman"/>
        </w:rPr>
        <w:t>Il richiedente, qualora accetti, dovrà inviare una comunicazione scritta al Comune, allegando alla stessa la ricevuta di pagamento, mediante versamento alla Tesoreria Comunale, dell’acconto pari al 20% (venti per cento) del corrispettivo comunicato, che resterà invariato per 60 (sessanta) giorni a partire dalla data della proposta, trascorsi i quali il valore, qualora sia stata comunicata l’accettazione e il pagamento dell’acconto, sarà soggetto ad aggiornamento ISTAT sulla base della variazione dell’indice dei prezzi al consumo per le famiglie di operai e impiegati.</w:t>
      </w:r>
    </w:p>
    <w:p w:rsidR="00AA1631" w:rsidRPr="00815E0E" w:rsidRDefault="00AA1631" w:rsidP="00AA1631">
      <w:pPr>
        <w:autoSpaceDE w:val="0"/>
        <w:autoSpaceDN w:val="0"/>
        <w:adjustRightInd w:val="0"/>
        <w:spacing w:before="120" w:after="0" w:line="264" w:lineRule="auto"/>
        <w:jc w:val="both"/>
        <w:rPr>
          <w:rFonts w:ascii="Times New Roman" w:hAnsi="Times New Roman"/>
          <w:bCs/>
          <w:i/>
          <w:iCs/>
        </w:rPr>
      </w:pPr>
      <w:r w:rsidRPr="00815E0E">
        <w:rPr>
          <w:rFonts w:ascii="Times New Roman" w:hAnsi="Times New Roman"/>
          <w:bCs/>
          <w:i/>
          <w:iCs/>
        </w:rPr>
        <w:t xml:space="preserve">La restante parte del corrispettivo, a </w:t>
      </w:r>
      <w:proofErr w:type="spellStart"/>
      <w:r w:rsidRPr="00815E0E">
        <w:rPr>
          <w:rFonts w:ascii="Times New Roman" w:hAnsi="Times New Roman"/>
          <w:bCs/>
          <w:i/>
          <w:iCs/>
        </w:rPr>
        <w:t>secondo</w:t>
      </w:r>
      <w:proofErr w:type="spellEnd"/>
      <w:r w:rsidRPr="00815E0E">
        <w:rPr>
          <w:rFonts w:ascii="Times New Roman" w:hAnsi="Times New Roman"/>
          <w:bCs/>
          <w:i/>
          <w:iCs/>
        </w:rPr>
        <w:t xml:space="preserve"> di quanto deciso dal Consiglio Comunale nella suddetta deliberazione, potrà essere versata in una delle seguenti modalità:</w:t>
      </w:r>
    </w:p>
    <w:p w:rsidR="00AA1631" w:rsidRPr="00815E0E" w:rsidRDefault="00AA1631" w:rsidP="00AA1631">
      <w:pPr>
        <w:pStyle w:val="Paragrafoelenco"/>
        <w:numPr>
          <w:ilvl w:val="1"/>
          <w:numId w:val="4"/>
        </w:numPr>
        <w:spacing w:after="0" w:line="264" w:lineRule="auto"/>
        <w:ind w:left="360"/>
        <w:contextualSpacing w:val="0"/>
        <w:jc w:val="both"/>
        <w:rPr>
          <w:rFonts w:ascii="Times New Roman" w:hAnsi="Times New Roman"/>
          <w:lang w:val="it-IT"/>
        </w:rPr>
      </w:pPr>
      <w:proofErr w:type="gramStart"/>
      <w:r w:rsidRPr="00815E0E">
        <w:rPr>
          <w:rFonts w:ascii="Times New Roman" w:hAnsi="Times New Roman"/>
          <w:lang w:val="it-IT"/>
        </w:rPr>
        <w:t>in</w:t>
      </w:r>
      <w:proofErr w:type="gramEnd"/>
      <w:r w:rsidRPr="00815E0E">
        <w:rPr>
          <w:rFonts w:ascii="Times New Roman" w:hAnsi="Times New Roman"/>
          <w:lang w:val="it-IT"/>
        </w:rPr>
        <w:t xml:space="preserve"> unica soluzione entro la data di stipula dell’atto pubblico/nuova convenzione;</w:t>
      </w:r>
    </w:p>
    <w:p w:rsidR="00AA1631" w:rsidRPr="00815E0E" w:rsidRDefault="00AA1631" w:rsidP="00AA1631">
      <w:pPr>
        <w:pStyle w:val="Paragrafoelenco"/>
        <w:numPr>
          <w:ilvl w:val="1"/>
          <w:numId w:val="4"/>
        </w:numPr>
        <w:spacing w:after="0" w:line="264" w:lineRule="auto"/>
        <w:ind w:left="360"/>
        <w:contextualSpacing w:val="0"/>
        <w:jc w:val="both"/>
        <w:rPr>
          <w:rFonts w:ascii="Times New Roman" w:hAnsi="Times New Roman"/>
          <w:lang w:val="it-IT"/>
        </w:rPr>
      </w:pPr>
      <w:proofErr w:type="gramStart"/>
      <w:r w:rsidRPr="00815E0E">
        <w:rPr>
          <w:rFonts w:ascii="Times New Roman" w:hAnsi="Times New Roman"/>
          <w:lang w:val="it-IT"/>
        </w:rPr>
        <w:t>in</w:t>
      </w:r>
      <w:proofErr w:type="gramEnd"/>
      <w:r w:rsidRPr="00815E0E">
        <w:rPr>
          <w:rFonts w:ascii="Times New Roman" w:hAnsi="Times New Roman"/>
          <w:lang w:val="it-IT"/>
        </w:rPr>
        <w:t xml:space="preserve"> forma rateale, nel modo di seguito indicato:</w:t>
      </w:r>
    </w:p>
    <w:p w:rsidR="00AA1631" w:rsidRPr="00815E0E" w:rsidRDefault="00AA1631" w:rsidP="00AA1631">
      <w:pPr>
        <w:pStyle w:val="Paragrafoelenco"/>
        <w:numPr>
          <w:ilvl w:val="0"/>
          <w:numId w:val="12"/>
        </w:numPr>
        <w:spacing w:before="120" w:after="0" w:line="264" w:lineRule="auto"/>
        <w:ind w:left="714" w:hanging="357"/>
        <w:contextualSpacing w:val="0"/>
        <w:jc w:val="both"/>
        <w:rPr>
          <w:rFonts w:ascii="Times New Roman" w:hAnsi="Times New Roman"/>
          <w:i/>
          <w:iCs/>
          <w:lang w:val="it-IT"/>
        </w:rPr>
      </w:pPr>
      <w:proofErr w:type="gramStart"/>
      <w:r w:rsidRPr="00815E0E">
        <w:rPr>
          <w:rFonts w:ascii="Times New Roman" w:hAnsi="Times New Roman"/>
          <w:i/>
          <w:iCs/>
          <w:lang w:val="it-IT"/>
        </w:rPr>
        <w:t>il</w:t>
      </w:r>
      <w:proofErr w:type="gramEnd"/>
      <w:r w:rsidRPr="00815E0E">
        <w:rPr>
          <w:rFonts w:ascii="Times New Roman" w:hAnsi="Times New Roman"/>
          <w:i/>
          <w:iCs/>
          <w:lang w:val="it-IT"/>
        </w:rPr>
        <w:t xml:space="preserve"> 25% entro 60 (trenta) giorni dalla data di accettazione della proposta;</w:t>
      </w:r>
    </w:p>
    <w:p w:rsidR="00AA1631" w:rsidRPr="00815E0E" w:rsidRDefault="00AA1631" w:rsidP="00AA1631">
      <w:pPr>
        <w:pStyle w:val="Paragrafoelenco"/>
        <w:numPr>
          <w:ilvl w:val="0"/>
          <w:numId w:val="12"/>
        </w:numPr>
        <w:spacing w:after="0" w:line="264" w:lineRule="auto"/>
        <w:jc w:val="both"/>
        <w:rPr>
          <w:rFonts w:ascii="Times New Roman" w:hAnsi="Times New Roman"/>
          <w:i/>
          <w:iCs/>
          <w:lang w:val="it-IT"/>
        </w:rPr>
      </w:pPr>
      <w:proofErr w:type="gramStart"/>
      <w:r w:rsidRPr="00815E0E">
        <w:rPr>
          <w:rFonts w:ascii="Times New Roman" w:hAnsi="Times New Roman"/>
          <w:i/>
          <w:iCs/>
          <w:lang w:val="it-IT"/>
        </w:rPr>
        <w:t>il</w:t>
      </w:r>
      <w:proofErr w:type="gramEnd"/>
      <w:r w:rsidRPr="00815E0E">
        <w:rPr>
          <w:rFonts w:ascii="Times New Roman" w:hAnsi="Times New Roman"/>
          <w:i/>
          <w:iCs/>
          <w:lang w:val="it-IT"/>
        </w:rPr>
        <w:t xml:space="preserve"> 25% entro 90 (novanta) giorni dalla data di accettazione della proposta;</w:t>
      </w:r>
    </w:p>
    <w:p w:rsidR="00AA1631" w:rsidRPr="00815E0E" w:rsidRDefault="00AA1631" w:rsidP="00AA1631">
      <w:pPr>
        <w:pStyle w:val="Paragrafoelenco"/>
        <w:numPr>
          <w:ilvl w:val="0"/>
          <w:numId w:val="12"/>
        </w:numPr>
        <w:spacing w:after="0" w:line="264" w:lineRule="auto"/>
        <w:jc w:val="both"/>
        <w:rPr>
          <w:rFonts w:ascii="Times New Roman" w:hAnsi="Times New Roman"/>
          <w:i/>
          <w:iCs/>
          <w:lang w:val="it-IT"/>
        </w:rPr>
      </w:pPr>
      <w:proofErr w:type="gramStart"/>
      <w:r w:rsidRPr="00815E0E">
        <w:rPr>
          <w:rFonts w:ascii="Times New Roman" w:hAnsi="Times New Roman"/>
          <w:i/>
          <w:iCs/>
          <w:lang w:val="it-IT"/>
        </w:rPr>
        <w:t>il</w:t>
      </w:r>
      <w:proofErr w:type="gramEnd"/>
      <w:r w:rsidRPr="00815E0E">
        <w:rPr>
          <w:rFonts w:ascii="Times New Roman" w:hAnsi="Times New Roman"/>
          <w:i/>
          <w:iCs/>
          <w:lang w:val="it-IT"/>
        </w:rPr>
        <w:t xml:space="preserve"> 25% entro 180 (centottanta) giorni dalla data di accettazione della proposta;</w:t>
      </w:r>
    </w:p>
    <w:p w:rsidR="00AA1631" w:rsidRPr="00815E0E" w:rsidRDefault="00AA1631" w:rsidP="00AA1631">
      <w:pPr>
        <w:pStyle w:val="Paragrafoelenco"/>
        <w:numPr>
          <w:ilvl w:val="0"/>
          <w:numId w:val="12"/>
        </w:numPr>
        <w:spacing w:after="0" w:line="264" w:lineRule="auto"/>
        <w:jc w:val="both"/>
        <w:rPr>
          <w:rFonts w:ascii="Times New Roman" w:hAnsi="Times New Roman"/>
          <w:i/>
          <w:iCs/>
          <w:lang w:val="it-IT"/>
        </w:rPr>
      </w:pPr>
      <w:proofErr w:type="gramStart"/>
      <w:r w:rsidRPr="00815E0E">
        <w:rPr>
          <w:rFonts w:ascii="Times New Roman" w:hAnsi="Times New Roman"/>
          <w:i/>
          <w:iCs/>
          <w:lang w:val="it-IT"/>
        </w:rPr>
        <w:t>il</w:t>
      </w:r>
      <w:proofErr w:type="gramEnd"/>
      <w:r w:rsidRPr="00815E0E">
        <w:rPr>
          <w:rFonts w:ascii="Times New Roman" w:hAnsi="Times New Roman"/>
          <w:i/>
          <w:iCs/>
          <w:lang w:val="it-IT"/>
        </w:rPr>
        <w:t xml:space="preserve"> 25% entro la data di stipula dell’atto pubblico/nuova convenzione e comunque non oltre 270 (duecentosettanta) giorni dalla data di accettazione della proposta.</w:t>
      </w:r>
    </w:p>
    <w:p w:rsidR="00AA1631" w:rsidRPr="00815E0E" w:rsidRDefault="00AA1631" w:rsidP="00AA1631">
      <w:pPr>
        <w:autoSpaceDE w:val="0"/>
        <w:autoSpaceDN w:val="0"/>
        <w:adjustRightInd w:val="0"/>
        <w:spacing w:before="120" w:after="0" w:line="264" w:lineRule="auto"/>
        <w:ind w:left="360"/>
        <w:jc w:val="both"/>
        <w:rPr>
          <w:rFonts w:ascii="Times New Roman" w:hAnsi="Times New Roman"/>
          <w:i/>
          <w:iCs/>
        </w:rPr>
      </w:pPr>
      <w:r w:rsidRPr="00815E0E">
        <w:rPr>
          <w:rFonts w:ascii="Times New Roman" w:hAnsi="Times New Roman"/>
          <w:i/>
          <w:iCs/>
        </w:rPr>
        <w:t>Sulle somme rateizzate dovrà essere corrisposto l’interesse legale.</w:t>
      </w:r>
    </w:p>
    <w:p w:rsidR="00AA1631" w:rsidRPr="00815E0E" w:rsidRDefault="00AA1631" w:rsidP="00AA1631">
      <w:pPr>
        <w:autoSpaceDE w:val="0"/>
        <w:autoSpaceDN w:val="0"/>
        <w:adjustRightInd w:val="0"/>
        <w:spacing w:before="120" w:after="0" w:line="264" w:lineRule="auto"/>
        <w:jc w:val="both"/>
        <w:rPr>
          <w:rFonts w:ascii="Times New Roman" w:hAnsi="Times New Roman"/>
          <w:b/>
          <w:bCs/>
          <w:i/>
          <w:iCs/>
        </w:rPr>
      </w:pPr>
      <w:r w:rsidRPr="00815E0E">
        <w:rPr>
          <w:rFonts w:ascii="Times New Roman" w:hAnsi="Times New Roman"/>
          <w:b/>
          <w:bCs/>
          <w:i/>
          <w:iCs/>
        </w:rPr>
        <w:t>Oppure per rateizzazione successiva all’atto di trasferimento:</w:t>
      </w:r>
    </w:p>
    <w:p w:rsidR="00AA1631" w:rsidRPr="00815E0E" w:rsidRDefault="00AA1631" w:rsidP="00AA1631">
      <w:pPr>
        <w:pStyle w:val="Paragrafoelenco"/>
        <w:numPr>
          <w:ilvl w:val="0"/>
          <w:numId w:val="5"/>
        </w:numPr>
        <w:spacing w:before="120" w:after="0" w:line="264" w:lineRule="auto"/>
        <w:ind w:left="714" w:hanging="357"/>
        <w:jc w:val="both"/>
        <w:rPr>
          <w:rFonts w:ascii="Times New Roman" w:hAnsi="Times New Roman"/>
          <w:i/>
          <w:iCs/>
          <w:lang w:val="it-IT"/>
        </w:rPr>
      </w:pPr>
      <w:proofErr w:type="gramStart"/>
      <w:r w:rsidRPr="00815E0E">
        <w:rPr>
          <w:rFonts w:ascii="Times New Roman" w:hAnsi="Times New Roman"/>
          <w:i/>
          <w:iCs/>
          <w:lang w:val="it-IT"/>
        </w:rPr>
        <w:t>il</w:t>
      </w:r>
      <w:proofErr w:type="gramEnd"/>
      <w:r w:rsidRPr="00815E0E">
        <w:rPr>
          <w:rFonts w:ascii="Times New Roman" w:hAnsi="Times New Roman"/>
          <w:i/>
          <w:iCs/>
          <w:lang w:val="it-IT"/>
        </w:rPr>
        <w:t xml:space="preserve"> 25% alla data di stipula dell’atto pubblico;</w:t>
      </w:r>
    </w:p>
    <w:p w:rsidR="00AA1631" w:rsidRPr="00815E0E" w:rsidRDefault="00AA1631" w:rsidP="00AA1631">
      <w:pPr>
        <w:pStyle w:val="Paragrafoelenco"/>
        <w:numPr>
          <w:ilvl w:val="0"/>
          <w:numId w:val="5"/>
        </w:numPr>
        <w:spacing w:after="0" w:line="264" w:lineRule="auto"/>
        <w:jc w:val="both"/>
        <w:rPr>
          <w:rFonts w:ascii="Times New Roman" w:hAnsi="Times New Roman"/>
          <w:i/>
          <w:iCs/>
          <w:lang w:val="it-IT"/>
        </w:rPr>
      </w:pPr>
      <w:proofErr w:type="gramStart"/>
      <w:r w:rsidRPr="00815E0E">
        <w:rPr>
          <w:rFonts w:ascii="Times New Roman" w:hAnsi="Times New Roman"/>
          <w:i/>
          <w:iCs/>
          <w:lang w:val="it-IT"/>
        </w:rPr>
        <w:t>il</w:t>
      </w:r>
      <w:proofErr w:type="gramEnd"/>
      <w:r w:rsidRPr="00815E0E">
        <w:rPr>
          <w:rFonts w:ascii="Times New Roman" w:hAnsi="Times New Roman"/>
          <w:i/>
          <w:iCs/>
          <w:lang w:val="it-IT"/>
        </w:rPr>
        <w:t xml:space="preserve"> 25% entro 90 (novanta) giorni dalla data di stipula dell’atto pubblico;</w:t>
      </w:r>
    </w:p>
    <w:p w:rsidR="00AA1631" w:rsidRPr="00815E0E" w:rsidRDefault="00AA1631" w:rsidP="00AA1631">
      <w:pPr>
        <w:pStyle w:val="Paragrafoelenco"/>
        <w:numPr>
          <w:ilvl w:val="0"/>
          <w:numId w:val="5"/>
        </w:numPr>
        <w:spacing w:after="0" w:line="264" w:lineRule="auto"/>
        <w:jc w:val="both"/>
        <w:rPr>
          <w:rFonts w:ascii="Times New Roman" w:hAnsi="Times New Roman"/>
          <w:i/>
          <w:iCs/>
          <w:lang w:val="it-IT"/>
        </w:rPr>
      </w:pPr>
      <w:proofErr w:type="gramStart"/>
      <w:r w:rsidRPr="00815E0E">
        <w:rPr>
          <w:rFonts w:ascii="Times New Roman" w:hAnsi="Times New Roman"/>
          <w:i/>
          <w:iCs/>
          <w:lang w:val="it-IT"/>
        </w:rPr>
        <w:t>il</w:t>
      </w:r>
      <w:proofErr w:type="gramEnd"/>
      <w:r w:rsidRPr="00815E0E">
        <w:rPr>
          <w:rFonts w:ascii="Times New Roman" w:hAnsi="Times New Roman"/>
          <w:i/>
          <w:iCs/>
          <w:lang w:val="it-IT"/>
        </w:rPr>
        <w:t xml:space="preserve"> 25% entro 180 (centottanta) giorni dalla data di stipula dell’atto pubblico;</w:t>
      </w:r>
    </w:p>
    <w:p w:rsidR="00AA1631" w:rsidRPr="00815E0E" w:rsidRDefault="00AA1631" w:rsidP="00AA1631">
      <w:pPr>
        <w:pStyle w:val="Paragrafoelenco"/>
        <w:numPr>
          <w:ilvl w:val="0"/>
          <w:numId w:val="5"/>
        </w:numPr>
        <w:spacing w:after="0" w:line="264" w:lineRule="auto"/>
        <w:jc w:val="both"/>
        <w:rPr>
          <w:rFonts w:ascii="Times New Roman" w:hAnsi="Times New Roman"/>
          <w:i/>
          <w:iCs/>
          <w:lang w:val="it-IT"/>
        </w:rPr>
      </w:pPr>
      <w:proofErr w:type="gramStart"/>
      <w:r w:rsidRPr="00815E0E">
        <w:rPr>
          <w:rFonts w:ascii="Times New Roman" w:hAnsi="Times New Roman"/>
          <w:i/>
          <w:iCs/>
          <w:lang w:val="it-IT"/>
        </w:rPr>
        <w:t>il</w:t>
      </w:r>
      <w:proofErr w:type="gramEnd"/>
      <w:r w:rsidRPr="00815E0E">
        <w:rPr>
          <w:rFonts w:ascii="Times New Roman" w:hAnsi="Times New Roman"/>
          <w:i/>
          <w:iCs/>
          <w:lang w:val="it-IT"/>
        </w:rPr>
        <w:t xml:space="preserve"> 25% entro 270 (duecentosettanta) giorni dalla data di stipula dell’atto pubblico.</w:t>
      </w:r>
    </w:p>
    <w:p w:rsidR="00AA1631" w:rsidRPr="00815E0E" w:rsidRDefault="00AA1631" w:rsidP="00AA1631">
      <w:pPr>
        <w:autoSpaceDE w:val="0"/>
        <w:autoSpaceDN w:val="0"/>
        <w:adjustRightInd w:val="0"/>
        <w:spacing w:before="120" w:after="0" w:line="264" w:lineRule="auto"/>
        <w:ind w:left="360"/>
        <w:jc w:val="both"/>
        <w:rPr>
          <w:rFonts w:ascii="Times New Roman" w:hAnsi="Times New Roman"/>
          <w:i/>
          <w:iCs/>
        </w:rPr>
      </w:pPr>
      <w:r w:rsidRPr="00815E0E">
        <w:rPr>
          <w:rFonts w:ascii="Times New Roman" w:hAnsi="Times New Roman"/>
          <w:i/>
          <w:iCs/>
        </w:rPr>
        <w:t>Sulle somme rateizzate dovrà essere corrisposto l’interesse legale e alla stipula dell’atto dovrà essere presentata apposita fideiussione bancaria o polizza fideiussoria assicurativa di importo pari al valore di vendita rivalutato del periodo di rateizzazione.</w:t>
      </w:r>
    </w:p>
    <w:p w:rsidR="00AA1631" w:rsidRPr="00815E0E" w:rsidRDefault="00AA1631" w:rsidP="00AA1631">
      <w:pPr>
        <w:autoSpaceDE w:val="0"/>
        <w:autoSpaceDN w:val="0"/>
        <w:adjustRightInd w:val="0"/>
        <w:spacing w:before="120" w:after="0" w:line="264" w:lineRule="auto"/>
        <w:jc w:val="both"/>
        <w:rPr>
          <w:rFonts w:ascii="Times New Roman" w:hAnsi="Times New Roman"/>
        </w:rPr>
      </w:pPr>
      <w:r w:rsidRPr="00815E0E">
        <w:rPr>
          <w:rFonts w:ascii="Times New Roman" w:hAnsi="Times New Roman"/>
        </w:rPr>
        <w:lastRenderedPageBreak/>
        <w:t>Con determinazione del responsabile del servizio, da adottarsi entro 15 (quindici) giorni dal ricevimento dell’accettazione, verrà formalizzata la cessione dell’area in proprietà, nonché dell’eliminazione dei vincoli convenzionali relativi alla alienazione ed alla locazione degli alloggi.</w:t>
      </w:r>
    </w:p>
    <w:p w:rsidR="00AA1631" w:rsidRPr="00815E0E" w:rsidRDefault="00AA1631" w:rsidP="00AA1631">
      <w:pPr>
        <w:autoSpaceDE w:val="0"/>
        <w:autoSpaceDN w:val="0"/>
        <w:adjustRightInd w:val="0"/>
        <w:spacing w:before="120" w:after="0" w:line="264" w:lineRule="auto"/>
        <w:jc w:val="both"/>
        <w:rPr>
          <w:rFonts w:ascii="Times New Roman" w:hAnsi="Times New Roman"/>
        </w:rPr>
      </w:pPr>
      <w:r w:rsidRPr="00815E0E">
        <w:rPr>
          <w:rFonts w:ascii="Times New Roman" w:hAnsi="Times New Roman"/>
        </w:rPr>
        <w:t>La trasformazione del diritto di superficie in diritto di proprietà e l’eliminazione dei vincoli convenzionali relativi al prezzo massimo di alienazione e locazione degli immobili sono disposte mediante atto pubblico predisposto da un notaio incaricato dal soggetto richiedente, sulla base dello schema di atto/convenzione approvato dal Consiglio Comunale.</w:t>
      </w:r>
    </w:p>
    <w:p w:rsidR="00AA1631" w:rsidRPr="00815E0E" w:rsidRDefault="00AA1631" w:rsidP="00AA1631">
      <w:pPr>
        <w:autoSpaceDE w:val="0"/>
        <w:autoSpaceDN w:val="0"/>
        <w:adjustRightInd w:val="0"/>
        <w:spacing w:before="120" w:after="0" w:line="264" w:lineRule="auto"/>
        <w:jc w:val="both"/>
        <w:rPr>
          <w:rFonts w:ascii="Times New Roman" w:hAnsi="Times New Roman"/>
        </w:rPr>
      </w:pPr>
      <w:r w:rsidRPr="00815E0E">
        <w:rPr>
          <w:rFonts w:ascii="Times New Roman" w:hAnsi="Times New Roman"/>
        </w:rPr>
        <w:t xml:space="preserve">Le spese, imposte e tasse comunque dovute per gli atti, ivi comprese quelle notarili e di trascrizione, saranno a carico del proprietario degli alloggi/unità immobiliari. </w:t>
      </w:r>
    </w:p>
    <w:p w:rsidR="00AA1631" w:rsidRPr="00815E0E" w:rsidRDefault="00AA1631" w:rsidP="00AA1631">
      <w:pPr>
        <w:pStyle w:val="Stile"/>
        <w:numPr>
          <w:ilvl w:val="0"/>
          <w:numId w:val="9"/>
        </w:numPr>
        <w:shd w:val="clear" w:color="auto" w:fill="FFFFFE"/>
        <w:spacing w:before="360" w:line="264" w:lineRule="auto"/>
        <w:ind w:right="51"/>
        <w:jc w:val="both"/>
        <w:rPr>
          <w:b/>
          <w:sz w:val="22"/>
          <w:szCs w:val="22"/>
          <w:u w:val="single"/>
          <w:shd w:val="clear" w:color="auto" w:fill="FFFFFE"/>
          <w:lang w:bidi="he-IL"/>
        </w:rPr>
      </w:pPr>
      <w:r w:rsidRPr="00815E0E">
        <w:rPr>
          <w:b/>
          <w:sz w:val="22"/>
          <w:szCs w:val="22"/>
          <w:u w:val="single"/>
          <w:shd w:val="clear" w:color="auto" w:fill="FFFFFE"/>
          <w:lang w:bidi="he-IL"/>
        </w:rPr>
        <w:t>DETERMINAZIONE CORRISPETTIVO</w:t>
      </w:r>
    </w:p>
    <w:p w:rsidR="00AA1631" w:rsidRPr="00815E0E" w:rsidRDefault="00AA1631" w:rsidP="00AA1631">
      <w:pPr>
        <w:pStyle w:val="Stile"/>
        <w:shd w:val="clear" w:color="auto" w:fill="FFFFFE"/>
        <w:spacing w:before="240" w:line="264" w:lineRule="auto"/>
        <w:ind w:right="51"/>
        <w:jc w:val="both"/>
        <w:rPr>
          <w:b/>
          <w:sz w:val="22"/>
          <w:szCs w:val="22"/>
          <w:u w:val="single"/>
          <w:shd w:val="clear" w:color="auto" w:fill="FFFFFE"/>
          <w:lang w:bidi="he-IL"/>
        </w:rPr>
      </w:pPr>
      <w:r w:rsidRPr="00815E0E">
        <w:rPr>
          <w:b/>
          <w:sz w:val="22"/>
          <w:szCs w:val="22"/>
          <w:u w:val="single"/>
          <w:shd w:val="clear" w:color="auto" w:fill="FFFFFE"/>
          <w:lang w:bidi="he-IL"/>
        </w:rPr>
        <w:t>Trasformazione diritto di superficie in diritto di proprietà ed eliminazione vincoli convenzionali</w:t>
      </w:r>
    </w:p>
    <w:p w:rsidR="00AA1631" w:rsidRPr="00815E0E" w:rsidRDefault="00AA1631" w:rsidP="00AA1631">
      <w:pPr>
        <w:autoSpaceDE w:val="0"/>
        <w:autoSpaceDN w:val="0"/>
        <w:adjustRightInd w:val="0"/>
        <w:spacing w:before="120" w:after="0" w:line="264" w:lineRule="auto"/>
        <w:ind w:left="6"/>
        <w:jc w:val="both"/>
        <w:rPr>
          <w:rFonts w:ascii="Times New Roman" w:hAnsi="Times New Roman"/>
        </w:rPr>
      </w:pPr>
      <w:r w:rsidRPr="00815E0E">
        <w:rPr>
          <w:rFonts w:ascii="Times New Roman" w:hAnsi="Times New Roman"/>
        </w:rPr>
        <w:t xml:space="preserve">Per la trasformazione del diritto di superficie, il corrispettivo </w:t>
      </w:r>
      <w:r w:rsidRPr="002620F3">
        <w:rPr>
          <w:rFonts w:ascii="Times New Roman" w:hAnsi="Times New Roman"/>
          <w:bCs/>
        </w:rPr>
        <w:t>da versare</w:t>
      </w:r>
      <w:r w:rsidRPr="00815E0E">
        <w:rPr>
          <w:rFonts w:ascii="Times New Roman" w:hAnsi="Times New Roman"/>
        </w:rPr>
        <w:t xml:space="preserve">, è determinato ai sensi dell’art. 31, comma 48, della Legge 448 del 1998, in ragione della competente quota millesimale e secondo i valori delle stime determinate, per ciascuna area P.E.E.P., pari al </w:t>
      </w:r>
      <w:r w:rsidRPr="00815E0E">
        <w:rPr>
          <w:rFonts w:ascii="Times New Roman" w:hAnsi="Times New Roman"/>
          <w:i/>
          <w:iCs/>
        </w:rPr>
        <w:t>60%</w:t>
      </w:r>
      <w:r w:rsidRPr="00815E0E">
        <w:rPr>
          <w:rFonts w:ascii="Times New Roman" w:hAnsi="Times New Roman"/>
        </w:rPr>
        <w:t xml:space="preserve"> </w:t>
      </w:r>
      <w:r w:rsidRPr="00815E0E">
        <w:rPr>
          <w:rFonts w:ascii="Times New Roman" w:hAnsi="Times New Roman"/>
          <w:i/>
          <w:iCs/>
        </w:rPr>
        <w:t xml:space="preserve">della media del valore venale del bene e del reddito dominicale (rivalutato di cui agli articoli 24 e seguenti del testo unico delle imposte sui redditi, approvato con decreto del Presidente della Repubblica 22 dicembre 1986, n. 917), </w:t>
      </w:r>
      <w:r w:rsidRPr="00815E0E">
        <w:rPr>
          <w:rFonts w:ascii="Times New Roman" w:hAnsi="Times New Roman"/>
        </w:rPr>
        <w:t>al netto degli oneri di concessione del diritto di superficie, rivalutati sulla base della variazione ISTAT, dell’indice dei prezzi al consumo per le famiglie di operai e impiegati tra il mese in cui sono stati versati i suddetti oneri.</w:t>
      </w:r>
    </w:p>
    <w:p w:rsidR="00AA1631" w:rsidRPr="00815E0E" w:rsidRDefault="00AA1631" w:rsidP="00AA1631">
      <w:pPr>
        <w:pStyle w:val="Stile"/>
        <w:numPr>
          <w:ilvl w:val="0"/>
          <w:numId w:val="6"/>
        </w:numPr>
        <w:shd w:val="clear" w:color="auto" w:fill="FFFFFE"/>
        <w:spacing w:before="240" w:line="264" w:lineRule="auto"/>
        <w:ind w:left="363" w:right="51" w:hanging="357"/>
        <w:jc w:val="both"/>
        <w:rPr>
          <w:b/>
          <w:sz w:val="22"/>
          <w:szCs w:val="22"/>
          <w:u w:val="single"/>
          <w:shd w:val="clear" w:color="auto" w:fill="FFFFFE"/>
          <w:lang w:bidi="he-IL"/>
        </w:rPr>
      </w:pPr>
      <w:r w:rsidRPr="00815E0E">
        <w:rPr>
          <w:b/>
          <w:sz w:val="22"/>
          <w:szCs w:val="22"/>
          <w:u w:val="single"/>
          <w:shd w:val="clear" w:color="auto" w:fill="FFFFFE"/>
          <w:lang w:bidi="he-IL"/>
        </w:rPr>
        <w:t>Stima del corrispettivo per la trasformazione del diritto di superficie in diritto di proprietà.</w:t>
      </w:r>
    </w:p>
    <w:p w:rsidR="00AA1631" w:rsidRPr="00815E0E" w:rsidRDefault="00AA1631" w:rsidP="00AA1631">
      <w:pPr>
        <w:autoSpaceDE w:val="0"/>
        <w:autoSpaceDN w:val="0"/>
        <w:adjustRightInd w:val="0"/>
        <w:spacing w:before="120" w:after="0" w:line="264" w:lineRule="auto"/>
        <w:ind w:left="363"/>
        <w:jc w:val="both"/>
        <w:rPr>
          <w:rFonts w:ascii="Times New Roman" w:hAnsi="Times New Roman"/>
        </w:rPr>
      </w:pPr>
      <w:r w:rsidRPr="00815E0E">
        <w:rPr>
          <w:rFonts w:ascii="Times New Roman" w:hAnsi="Times New Roman"/>
        </w:rPr>
        <w:t>Si sintetizza di seguito il criterio di calcolo previsto dalle disposizioni normative e utilizzato:</w:t>
      </w:r>
    </w:p>
    <w:p w:rsidR="00AA1631" w:rsidRPr="00815E0E" w:rsidRDefault="00AA1631" w:rsidP="00AA1631">
      <w:pPr>
        <w:spacing w:before="240" w:after="240" w:line="264" w:lineRule="auto"/>
        <w:ind w:left="437" w:right="91" w:firstLine="6"/>
        <w:jc w:val="center"/>
        <w:rPr>
          <w:rFonts w:ascii="Times New Roman" w:hAnsi="Times New Roman"/>
          <w:b/>
          <w:vertAlign w:val="subscript"/>
          <w:lang w:val="en-AU"/>
        </w:rPr>
      </w:pPr>
      <w:proofErr w:type="spellStart"/>
      <w:r w:rsidRPr="00815E0E">
        <w:rPr>
          <w:rFonts w:ascii="Times New Roman" w:hAnsi="Times New Roman"/>
          <w:b/>
          <w:lang w:val="en-AU"/>
        </w:rPr>
        <w:t>C</w:t>
      </w:r>
      <w:r w:rsidRPr="00815E0E">
        <w:rPr>
          <w:rFonts w:ascii="Times New Roman" w:hAnsi="Times New Roman"/>
          <w:b/>
          <w:vertAlign w:val="subscript"/>
          <w:lang w:val="en-AU"/>
        </w:rPr>
        <w:t>p</w:t>
      </w:r>
      <w:proofErr w:type="spellEnd"/>
      <w:r w:rsidRPr="00815E0E">
        <w:rPr>
          <w:rFonts w:ascii="Times New Roman" w:hAnsi="Times New Roman"/>
          <w:b/>
          <w:lang w:val="en-AU"/>
        </w:rPr>
        <w:t xml:space="preserve"> = {[</w:t>
      </w:r>
      <w:proofErr w:type="gramStart"/>
      <w:r w:rsidRPr="00815E0E">
        <w:rPr>
          <w:rFonts w:ascii="Times New Roman" w:hAnsi="Times New Roman"/>
          <w:b/>
          <w:lang w:val="en-AU"/>
        </w:rPr>
        <w:t>60%</w:t>
      </w:r>
      <w:proofErr w:type="gramEnd"/>
      <w:r w:rsidRPr="00815E0E">
        <w:rPr>
          <w:rFonts w:ascii="Times New Roman" w:hAnsi="Times New Roman"/>
          <w:b/>
          <w:lang w:val="en-AU"/>
        </w:rPr>
        <w:t>*(</w:t>
      </w:r>
      <w:proofErr w:type="spellStart"/>
      <w:r w:rsidRPr="00815E0E">
        <w:rPr>
          <w:rFonts w:ascii="Times New Roman" w:hAnsi="Times New Roman"/>
          <w:b/>
          <w:lang w:val="en-AU"/>
        </w:rPr>
        <w:t>V</w:t>
      </w:r>
      <w:r w:rsidRPr="00815E0E">
        <w:rPr>
          <w:rFonts w:ascii="Times New Roman" w:hAnsi="Times New Roman"/>
          <w:b/>
          <w:vertAlign w:val="subscript"/>
          <w:lang w:val="en-AU"/>
        </w:rPr>
        <w:t>v</w:t>
      </w:r>
      <w:proofErr w:type="spellEnd"/>
      <w:r w:rsidRPr="00815E0E">
        <w:rPr>
          <w:rFonts w:ascii="Times New Roman" w:hAnsi="Times New Roman"/>
          <w:b/>
          <w:lang w:val="en-AU"/>
        </w:rPr>
        <w:t xml:space="preserve"> </w:t>
      </w:r>
      <w:bookmarkStart w:id="1" w:name="_GoBack"/>
      <w:bookmarkEnd w:id="1"/>
      <w:r w:rsidR="001633CD" w:rsidRPr="001633CD">
        <w:rPr>
          <w:rFonts w:ascii="Times New Roman" w:hAnsi="Times New Roman"/>
          <w:b/>
          <w:lang w:val="en-AU"/>
        </w:rPr>
        <w:t>+</w:t>
      </w:r>
      <w:r w:rsidRPr="00815E0E">
        <w:rPr>
          <w:rFonts w:ascii="Times New Roman" w:hAnsi="Times New Roman"/>
          <w:b/>
          <w:lang w:val="en-AU"/>
        </w:rPr>
        <w:t xml:space="preserve"> R</w:t>
      </w:r>
      <w:r w:rsidRPr="00815E0E">
        <w:rPr>
          <w:rFonts w:ascii="Times New Roman" w:hAnsi="Times New Roman"/>
          <w:b/>
          <w:vertAlign w:val="subscript"/>
          <w:lang w:val="en-AU"/>
        </w:rPr>
        <w:t>d</w:t>
      </w:r>
      <w:r w:rsidRPr="00815E0E">
        <w:rPr>
          <w:rFonts w:ascii="Times New Roman" w:hAnsi="Times New Roman"/>
          <w:b/>
          <w:lang w:val="en-AU"/>
        </w:rPr>
        <w:t>)/2 – C</w:t>
      </w:r>
      <w:r w:rsidRPr="00815E0E">
        <w:rPr>
          <w:rFonts w:ascii="Times New Roman" w:hAnsi="Times New Roman"/>
          <w:b/>
          <w:vertAlign w:val="subscript"/>
          <w:lang w:val="en-AU"/>
        </w:rPr>
        <w:t>o</w:t>
      </w:r>
      <w:r w:rsidRPr="00815E0E">
        <w:rPr>
          <w:rFonts w:ascii="Times New Roman" w:hAnsi="Times New Roman"/>
          <w:b/>
          <w:lang w:val="en-AU"/>
        </w:rPr>
        <w:t xml:space="preserve">] * </w:t>
      </w:r>
      <w:proofErr w:type="spellStart"/>
      <w:r w:rsidRPr="00815E0E">
        <w:rPr>
          <w:rFonts w:ascii="Times New Roman" w:hAnsi="Times New Roman"/>
          <w:b/>
          <w:lang w:val="en-AU"/>
        </w:rPr>
        <w:t>M</w:t>
      </w:r>
      <w:r w:rsidRPr="00815E0E">
        <w:rPr>
          <w:rFonts w:ascii="Times New Roman" w:hAnsi="Times New Roman"/>
          <w:b/>
          <w:vertAlign w:val="subscript"/>
          <w:lang w:val="en-AU"/>
        </w:rPr>
        <w:t>p</w:t>
      </w:r>
      <w:proofErr w:type="spellEnd"/>
      <w:r w:rsidRPr="00815E0E">
        <w:rPr>
          <w:rFonts w:ascii="Times New Roman" w:hAnsi="Times New Roman"/>
          <w:b/>
          <w:lang w:val="en-AU"/>
        </w:rPr>
        <w:t>}</w:t>
      </w:r>
    </w:p>
    <w:p w:rsidR="00AA1631" w:rsidRPr="00815E0E" w:rsidRDefault="00AA1631" w:rsidP="00AA1631">
      <w:pPr>
        <w:autoSpaceDE w:val="0"/>
        <w:autoSpaceDN w:val="0"/>
        <w:adjustRightInd w:val="0"/>
        <w:spacing w:after="0" w:line="240" w:lineRule="auto"/>
        <w:ind w:left="443"/>
        <w:jc w:val="both"/>
        <w:rPr>
          <w:rFonts w:ascii="Times New Roman" w:hAnsi="Times New Roman"/>
        </w:rPr>
      </w:pPr>
      <w:r w:rsidRPr="00815E0E">
        <w:rPr>
          <w:rFonts w:ascii="Times New Roman" w:hAnsi="Times New Roman"/>
        </w:rPr>
        <w:t>Dove:</w:t>
      </w:r>
    </w:p>
    <w:p w:rsidR="00AA1631" w:rsidRPr="00815E0E" w:rsidRDefault="00AA1631" w:rsidP="00AA1631">
      <w:pPr>
        <w:pStyle w:val="Paragrafoelenco"/>
        <w:numPr>
          <w:ilvl w:val="0"/>
          <w:numId w:val="7"/>
        </w:numPr>
        <w:spacing w:before="120" w:after="0" w:line="264" w:lineRule="auto"/>
        <w:ind w:left="799" w:right="561" w:hanging="357"/>
        <w:contextualSpacing w:val="0"/>
        <w:jc w:val="both"/>
        <w:rPr>
          <w:rFonts w:ascii="Times New Roman" w:hAnsi="Times New Roman"/>
          <w:lang w:val="it-IT"/>
        </w:rPr>
      </w:pPr>
      <w:proofErr w:type="spellStart"/>
      <w:r w:rsidRPr="00815E0E">
        <w:rPr>
          <w:rFonts w:ascii="Times New Roman" w:hAnsi="Times New Roman"/>
          <w:b/>
          <w:bCs/>
          <w:lang w:val="it-IT"/>
        </w:rPr>
        <w:t>C</w:t>
      </w:r>
      <w:r w:rsidRPr="00815E0E">
        <w:rPr>
          <w:rFonts w:ascii="Times New Roman" w:hAnsi="Times New Roman"/>
          <w:b/>
          <w:bCs/>
          <w:vertAlign w:val="subscript"/>
          <w:lang w:val="it-IT"/>
        </w:rPr>
        <w:t>p</w:t>
      </w:r>
      <w:proofErr w:type="spellEnd"/>
      <w:r w:rsidRPr="00815E0E">
        <w:rPr>
          <w:rFonts w:ascii="Times New Roman" w:hAnsi="Times New Roman"/>
          <w:lang w:val="it-IT"/>
        </w:rPr>
        <w:t xml:space="preserve"> =</w:t>
      </w:r>
      <w:r w:rsidRPr="00815E0E">
        <w:rPr>
          <w:rFonts w:ascii="Times New Roman" w:hAnsi="Times New Roman"/>
          <w:spacing w:val="26"/>
          <w:lang w:val="it-IT"/>
        </w:rPr>
        <w:t xml:space="preserve"> </w:t>
      </w:r>
      <w:r w:rsidRPr="00815E0E">
        <w:rPr>
          <w:rFonts w:ascii="Times New Roman" w:hAnsi="Times New Roman"/>
          <w:lang w:val="it-IT"/>
        </w:rPr>
        <w:t>Corrispettivo</w:t>
      </w:r>
      <w:r w:rsidRPr="00815E0E">
        <w:rPr>
          <w:rFonts w:ascii="Times New Roman" w:hAnsi="Times New Roman"/>
          <w:spacing w:val="52"/>
          <w:lang w:val="it-IT"/>
        </w:rPr>
        <w:t xml:space="preserve"> </w:t>
      </w:r>
      <w:r w:rsidRPr="00815E0E">
        <w:rPr>
          <w:rFonts w:ascii="Times New Roman" w:hAnsi="Times New Roman"/>
          <w:lang w:val="it-IT"/>
        </w:rPr>
        <w:t>per</w:t>
      </w:r>
      <w:r w:rsidRPr="00815E0E">
        <w:rPr>
          <w:rFonts w:ascii="Times New Roman" w:hAnsi="Times New Roman"/>
          <w:spacing w:val="11"/>
          <w:lang w:val="it-IT"/>
        </w:rPr>
        <w:t xml:space="preserve"> </w:t>
      </w:r>
      <w:r w:rsidRPr="00815E0E">
        <w:rPr>
          <w:rFonts w:ascii="Times New Roman" w:hAnsi="Times New Roman"/>
          <w:lang w:val="it-IT"/>
        </w:rPr>
        <w:t>unità</w:t>
      </w:r>
      <w:r w:rsidRPr="00815E0E">
        <w:rPr>
          <w:rFonts w:ascii="Times New Roman" w:hAnsi="Times New Roman"/>
          <w:spacing w:val="20"/>
          <w:lang w:val="it-IT"/>
        </w:rPr>
        <w:t xml:space="preserve"> </w:t>
      </w:r>
      <w:r w:rsidRPr="00815E0E">
        <w:rPr>
          <w:rFonts w:ascii="Times New Roman" w:hAnsi="Times New Roman"/>
          <w:w w:val="103"/>
          <w:lang w:val="it-IT"/>
        </w:rPr>
        <w:t>immobiliare</w:t>
      </w:r>
    </w:p>
    <w:p w:rsidR="00AA1631" w:rsidRPr="00815E0E" w:rsidRDefault="00AA1631" w:rsidP="00AA1631">
      <w:pPr>
        <w:pStyle w:val="Paragrafoelenco"/>
        <w:numPr>
          <w:ilvl w:val="0"/>
          <w:numId w:val="7"/>
        </w:numPr>
        <w:spacing w:before="120" w:after="0" w:line="264" w:lineRule="auto"/>
        <w:ind w:left="799" w:right="134" w:hanging="357"/>
        <w:contextualSpacing w:val="0"/>
        <w:jc w:val="both"/>
        <w:rPr>
          <w:rFonts w:ascii="Times New Roman" w:hAnsi="Times New Roman"/>
          <w:spacing w:val="-5"/>
          <w:lang w:val="it-IT"/>
        </w:rPr>
      </w:pPr>
      <w:r w:rsidRPr="00815E0E">
        <w:rPr>
          <w:rFonts w:ascii="Times New Roman" w:hAnsi="Times New Roman"/>
          <w:b/>
          <w:bCs/>
          <w:spacing w:val="-5"/>
          <w:lang w:val="it-IT"/>
        </w:rPr>
        <w:t>60%</w:t>
      </w:r>
      <w:r w:rsidRPr="00815E0E">
        <w:rPr>
          <w:rFonts w:ascii="Times New Roman" w:hAnsi="Times New Roman"/>
          <w:spacing w:val="-5"/>
          <w:lang w:val="it-IT"/>
        </w:rPr>
        <w:t xml:space="preserve"> = Percentuale di applicazione del 60%, come stabilito all’art. 31 comma 48 della Legge n. 448/1998;</w:t>
      </w:r>
    </w:p>
    <w:p w:rsidR="00AA1631" w:rsidRPr="00815E0E" w:rsidRDefault="00AA1631" w:rsidP="00AA1631">
      <w:pPr>
        <w:pStyle w:val="Paragrafoelenco"/>
        <w:numPr>
          <w:ilvl w:val="0"/>
          <w:numId w:val="7"/>
        </w:numPr>
        <w:spacing w:before="120" w:after="0" w:line="264" w:lineRule="auto"/>
        <w:ind w:left="799" w:right="136" w:hanging="357"/>
        <w:contextualSpacing w:val="0"/>
        <w:jc w:val="both"/>
        <w:rPr>
          <w:rFonts w:ascii="Times New Roman" w:hAnsi="Times New Roman"/>
          <w:lang w:val="it-IT"/>
        </w:rPr>
      </w:pPr>
      <w:proofErr w:type="spellStart"/>
      <w:r w:rsidRPr="00815E0E">
        <w:rPr>
          <w:rFonts w:ascii="Times New Roman" w:hAnsi="Times New Roman"/>
          <w:b/>
          <w:bCs/>
          <w:spacing w:val="-5"/>
          <w:lang w:val="it-IT"/>
        </w:rPr>
        <w:t>V</w:t>
      </w:r>
      <w:r w:rsidRPr="00815E0E">
        <w:rPr>
          <w:rFonts w:ascii="Times New Roman" w:hAnsi="Times New Roman"/>
          <w:b/>
          <w:bCs/>
          <w:spacing w:val="-5"/>
          <w:vertAlign w:val="subscript"/>
          <w:lang w:val="it-IT"/>
        </w:rPr>
        <w:t>v</w:t>
      </w:r>
      <w:proofErr w:type="spellEnd"/>
      <w:r w:rsidRPr="00815E0E">
        <w:rPr>
          <w:rFonts w:ascii="Times New Roman" w:hAnsi="Times New Roman"/>
          <w:spacing w:val="-5"/>
          <w:lang w:val="it-IT"/>
        </w:rPr>
        <w:t xml:space="preserve"> </w:t>
      </w:r>
      <w:r w:rsidRPr="00815E0E">
        <w:rPr>
          <w:rFonts w:ascii="Times New Roman" w:hAnsi="Times New Roman"/>
          <w:lang w:val="it-IT"/>
        </w:rPr>
        <w:t>=</w:t>
      </w:r>
      <w:r w:rsidRPr="00815E0E">
        <w:rPr>
          <w:rFonts w:ascii="Times New Roman" w:hAnsi="Times New Roman"/>
          <w:spacing w:val="25"/>
          <w:lang w:val="it-IT"/>
        </w:rPr>
        <w:t xml:space="preserve"> </w:t>
      </w:r>
      <w:r w:rsidRPr="00815E0E">
        <w:rPr>
          <w:rFonts w:ascii="Times New Roman" w:hAnsi="Times New Roman"/>
          <w:lang w:val="it-IT"/>
        </w:rPr>
        <w:t>Valore</w:t>
      </w:r>
      <w:r w:rsidRPr="00815E0E">
        <w:rPr>
          <w:rFonts w:ascii="Times New Roman" w:hAnsi="Times New Roman"/>
          <w:spacing w:val="19"/>
          <w:lang w:val="it-IT"/>
        </w:rPr>
        <w:t xml:space="preserve"> </w:t>
      </w:r>
      <w:r w:rsidRPr="00815E0E">
        <w:rPr>
          <w:rFonts w:ascii="Times New Roman" w:hAnsi="Times New Roman"/>
          <w:lang w:val="it-IT"/>
        </w:rPr>
        <w:t>Venale</w:t>
      </w:r>
      <w:r w:rsidRPr="00815E0E">
        <w:rPr>
          <w:rFonts w:ascii="Times New Roman" w:hAnsi="Times New Roman"/>
          <w:spacing w:val="20"/>
          <w:lang w:val="it-IT"/>
        </w:rPr>
        <w:t xml:space="preserve"> </w:t>
      </w:r>
      <w:r w:rsidRPr="00815E0E">
        <w:rPr>
          <w:rFonts w:ascii="Times New Roman" w:hAnsi="Times New Roman"/>
          <w:lang w:val="it-IT"/>
        </w:rPr>
        <w:t>attuale</w:t>
      </w:r>
      <w:r w:rsidRPr="00815E0E">
        <w:rPr>
          <w:rFonts w:ascii="Times New Roman" w:hAnsi="Times New Roman"/>
          <w:spacing w:val="24"/>
          <w:lang w:val="it-IT"/>
        </w:rPr>
        <w:t xml:space="preserve"> </w:t>
      </w:r>
      <w:r w:rsidRPr="00815E0E">
        <w:rPr>
          <w:rFonts w:ascii="Times New Roman" w:hAnsi="Times New Roman"/>
          <w:lang w:val="it-IT"/>
        </w:rPr>
        <w:t>dell’area.</w:t>
      </w:r>
    </w:p>
    <w:p w:rsidR="00AA1631" w:rsidRPr="00815E0E" w:rsidRDefault="00AA1631" w:rsidP="00AA1631">
      <w:pPr>
        <w:spacing w:before="120" w:after="0" w:line="264" w:lineRule="auto"/>
        <w:ind w:left="799" w:right="136"/>
        <w:jc w:val="both"/>
        <w:rPr>
          <w:rFonts w:ascii="Times New Roman" w:hAnsi="Times New Roman"/>
        </w:rPr>
      </w:pPr>
      <w:r w:rsidRPr="00815E0E">
        <w:rPr>
          <w:rFonts w:ascii="Times New Roman" w:hAnsi="Times New Roman"/>
        </w:rPr>
        <w:t>Per la determinazione del valore venale dell’area edificabile ogni Amministrazione potrà applicare il criterio di stima che ritiene congruo o fino ad oggi adottato.</w:t>
      </w:r>
    </w:p>
    <w:p w:rsidR="00AA1631" w:rsidRPr="00815E0E" w:rsidRDefault="00AA1631" w:rsidP="00AA1631">
      <w:pPr>
        <w:pStyle w:val="Paragrafoelenco"/>
        <w:numPr>
          <w:ilvl w:val="0"/>
          <w:numId w:val="7"/>
        </w:numPr>
        <w:spacing w:before="120" w:after="0" w:line="264" w:lineRule="auto"/>
        <w:ind w:left="799" w:right="136" w:hanging="357"/>
        <w:contextualSpacing w:val="0"/>
        <w:jc w:val="both"/>
        <w:rPr>
          <w:rFonts w:ascii="Times New Roman" w:hAnsi="Times New Roman"/>
          <w:spacing w:val="-5"/>
          <w:lang w:val="it-IT"/>
        </w:rPr>
      </w:pPr>
      <w:proofErr w:type="spellStart"/>
      <w:r w:rsidRPr="00815E0E">
        <w:rPr>
          <w:rFonts w:ascii="Times New Roman" w:hAnsi="Times New Roman"/>
          <w:b/>
          <w:bCs/>
          <w:spacing w:val="-5"/>
          <w:lang w:val="it-IT"/>
        </w:rPr>
        <w:t>R</w:t>
      </w:r>
      <w:r w:rsidRPr="00815E0E">
        <w:rPr>
          <w:rFonts w:ascii="Times New Roman" w:hAnsi="Times New Roman"/>
          <w:b/>
          <w:bCs/>
          <w:spacing w:val="-5"/>
          <w:vertAlign w:val="subscript"/>
          <w:lang w:val="it-IT"/>
        </w:rPr>
        <w:t>d</w:t>
      </w:r>
      <w:proofErr w:type="spellEnd"/>
      <w:r w:rsidRPr="00815E0E">
        <w:rPr>
          <w:rFonts w:ascii="Times New Roman" w:hAnsi="Times New Roman"/>
          <w:spacing w:val="-5"/>
          <w:lang w:val="it-IT"/>
        </w:rPr>
        <w:t xml:space="preserve"> = reddito dominicale area</w:t>
      </w:r>
    </w:p>
    <w:p w:rsidR="00AA1631" w:rsidRPr="00815E0E" w:rsidRDefault="00AA1631" w:rsidP="00AA1631">
      <w:pPr>
        <w:autoSpaceDE w:val="0"/>
        <w:autoSpaceDN w:val="0"/>
        <w:adjustRightInd w:val="0"/>
        <w:spacing w:before="120" w:after="0" w:line="264" w:lineRule="auto"/>
        <w:ind w:left="799"/>
        <w:jc w:val="both"/>
        <w:rPr>
          <w:rFonts w:ascii="Times New Roman" w:hAnsi="Times New Roman"/>
        </w:rPr>
      </w:pPr>
      <w:r w:rsidRPr="00815E0E">
        <w:rPr>
          <w:rFonts w:ascii="Times New Roman" w:hAnsi="Times New Roman"/>
        </w:rPr>
        <w:t>La determinazione del reddito dominicale per le aree accatastate al N.C.T. non pone problemi, anche se il reddito che si deve assumere deve essere quello della coltura effettivamente praticata.</w:t>
      </w:r>
    </w:p>
    <w:p w:rsidR="00AA1631" w:rsidRPr="00815E0E" w:rsidRDefault="00AA1631" w:rsidP="00AA1631">
      <w:pPr>
        <w:autoSpaceDE w:val="0"/>
        <w:autoSpaceDN w:val="0"/>
        <w:adjustRightInd w:val="0"/>
        <w:spacing w:before="120" w:after="0" w:line="264" w:lineRule="auto"/>
        <w:ind w:left="799"/>
        <w:jc w:val="both"/>
        <w:rPr>
          <w:rFonts w:ascii="Times New Roman" w:hAnsi="Times New Roman"/>
        </w:rPr>
      </w:pPr>
      <w:r w:rsidRPr="00815E0E">
        <w:rPr>
          <w:rFonts w:ascii="Times New Roman" w:hAnsi="Times New Roman"/>
        </w:rPr>
        <w:t>Per un’area non più classificata come agricola in quanto ente urbano, come le nostre aree cedute in diritto di superficie, per la determinazione del reddito dominicale si potrebbe far riferimento alla vocazione originaria del terreno (cioè alla qualifica del terreno prima dell’inserimento al N.C.E.U. alla data del trasferimento del diritto di superficie oppure si potrebbe assumere il reddito agrario della coltura più redditizia della regione agraria).</w:t>
      </w:r>
    </w:p>
    <w:p w:rsidR="00AA1631" w:rsidRPr="00815E0E" w:rsidRDefault="00AA1631" w:rsidP="00AA1631">
      <w:pPr>
        <w:autoSpaceDE w:val="0"/>
        <w:autoSpaceDN w:val="0"/>
        <w:adjustRightInd w:val="0"/>
        <w:spacing w:before="120" w:after="0" w:line="264" w:lineRule="auto"/>
        <w:ind w:left="799"/>
        <w:jc w:val="both"/>
        <w:rPr>
          <w:rFonts w:ascii="Times New Roman" w:hAnsi="Times New Roman"/>
        </w:rPr>
      </w:pPr>
      <w:r w:rsidRPr="00815E0E">
        <w:rPr>
          <w:rFonts w:ascii="Times New Roman" w:hAnsi="Times New Roman"/>
        </w:rPr>
        <w:t>Pertanto, a titolo di esemplificazione, poiché il reddito dominicale dell’area, seppur rivalutato/aggiornato, rapportato al valore venale dell’area (pari a circa 0,25% - 0,35%) risulterebbe ininfluente sul calcolo della media del valore venale del bene e del reddito dominicale, detto valore può essere assunto pari a zero e ciò a vantaggio del soggetto riscattante il diritto di superficie. Pertanto, la formula può essere semplificata:</w:t>
      </w:r>
    </w:p>
    <w:p w:rsidR="00AA1631" w:rsidRPr="00815E0E" w:rsidRDefault="00AA1631" w:rsidP="00AA1631">
      <w:pPr>
        <w:spacing w:before="240" w:after="240" w:line="264" w:lineRule="auto"/>
        <w:ind w:left="437" w:right="91" w:firstLine="6"/>
        <w:jc w:val="center"/>
        <w:rPr>
          <w:rFonts w:ascii="Times New Roman" w:hAnsi="Times New Roman"/>
          <w:b/>
          <w:vertAlign w:val="subscript"/>
        </w:rPr>
      </w:pPr>
      <w:proofErr w:type="spellStart"/>
      <w:r w:rsidRPr="00815E0E">
        <w:rPr>
          <w:rFonts w:ascii="Times New Roman" w:hAnsi="Times New Roman"/>
          <w:b/>
        </w:rPr>
        <w:lastRenderedPageBreak/>
        <w:t>C</w:t>
      </w:r>
      <w:r w:rsidRPr="00815E0E">
        <w:rPr>
          <w:rFonts w:ascii="Times New Roman" w:hAnsi="Times New Roman"/>
          <w:b/>
          <w:vertAlign w:val="subscript"/>
        </w:rPr>
        <w:t>p</w:t>
      </w:r>
      <w:proofErr w:type="spellEnd"/>
      <w:r w:rsidRPr="00815E0E">
        <w:rPr>
          <w:rFonts w:ascii="Times New Roman" w:hAnsi="Times New Roman"/>
          <w:b/>
        </w:rPr>
        <w:t xml:space="preserve"> = {[60%*(</w:t>
      </w:r>
      <w:proofErr w:type="spellStart"/>
      <w:r w:rsidRPr="00815E0E">
        <w:rPr>
          <w:rFonts w:ascii="Times New Roman" w:hAnsi="Times New Roman"/>
          <w:b/>
        </w:rPr>
        <w:t>V</w:t>
      </w:r>
      <w:r w:rsidRPr="00815E0E">
        <w:rPr>
          <w:rFonts w:ascii="Times New Roman" w:hAnsi="Times New Roman"/>
          <w:b/>
          <w:vertAlign w:val="subscript"/>
        </w:rPr>
        <w:t>v</w:t>
      </w:r>
      <w:proofErr w:type="spellEnd"/>
      <w:r w:rsidRPr="00815E0E">
        <w:rPr>
          <w:rFonts w:ascii="Times New Roman" w:hAnsi="Times New Roman"/>
          <w:b/>
        </w:rPr>
        <w:t xml:space="preserve"> /2) – C</w:t>
      </w:r>
      <w:r w:rsidRPr="00815E0E">
        <w:rPr>
          <w:rFonts w:ascii="Times New Roman" w:hAnsi="Times New Roman"/>
          <w:b/>
          <w:vertAlign w:val="subscript"/>
        </w:rPr>
        <w:t>o</w:t>
      </w:r>
      <w:r w:rsidRPr="00815E0E">
        <w:rPr>
          <w:rFonts w:ascii="Times New Roman" w:hAnsi="Times New Roman"/>
          <w:b/>
        </w:rPr>
        <w:t>] * M</w:t>
      </w:r>
      <w:r w:rsidRPr="00815E0E">
        <w:rPr>
          <w:rFonts w:ascii="Times New Roman" w:hAnsi="Times New Roman"/>
          <w:b/>
          <w:vertAlign w:val="subscript"/>
        </w:rPr>
        <w:t>p</w:t>
      </w:r>
      <w:r w:rsidRPr="00815E0E">
        <w:rPr>
          <w:rFonts w:ascii="Times New Roman" w:hAnsi="Times New Roman"/>
          <w:b/>
        </w:rPr>
        <w:t>}</w:t>
      </w:r>
    </w:p>
    <w:p w:rsidR="00AA1631" w:rsidRPr="00815E0E" w:rsidRDefault="00AA1631" w:rsidP="00AA1631">
      <w:pPr>
        <w:pStyle w:val="Paragrafoelenco"/>
        <w:numPr>
          <w:ilvl w:val="0"/>
          <w:numId w:val="7"/>
        </w:numPr>
        <w:spacing w:before="120" w:after="0" w:line="264" w:lineRule="auto"/>
        <w:ind w:left="799" w:right="136" w:hanging="357"/>
        <w:contextualSpacing w:val="0"/>
        <w:jc w:val="both"/>
        <w:rPr>
          <w:rFonts w:ascii="Times New Roman" w:hAnsi="Times New Roman"/>
          <w:spacing w:val="-5"/>
          <w:lang w:val="it-IT"/>
        </w:rPr>
      </w:pPr>
      <w:r w:rsidRPr="00815E0E">
        <w:rPr>
          <w:rFonts w:ascii="Times New Roman" w:hAnsi="Times New Roman"/>
          <w:b/>
          <w:bCs/>
          <w:spacing w:val="-5"/>
          <w:lang w:val="it-IT"/>
        </w:rPr>
        <w:t>C</w:t>
      </w:r>
      <w:r w:rsidRPr="00815E0E">
        <w:rPr>
          <w:rFonts w:ascii="Times New Roman" w:hAnsi="Times New Roman"/>
          <w:b/>
          <w:bCs/>
          <w:spacing w:val="-5"/>
          <w:vertAlign w:val="subscript"/>
          <w:lang w:val="it-IT"/>
        </w:rPr>
        <w:t>o</w:t>
      </w:r>
      <w:r w:rsidRPr="00815E0E">
        <w:rPr>
          <w:rFonts w:ascii="Times New Roman" w:hAnsi="Times New Roman"/>
          <w:spacing w:val="-5"/>
          <w:lang w:val="it-IT"/>
        </w:rPr>
        <w:t xml:space="preserve"> = Oneri di concessione del diritto di superficie rivalutati previsti dalla Convenzione di assegnazione delle aree in diritto di Superficie, rivalutate, in base alle variazioni degli indici ISTAT dei prezzi al consumo per le famiglie di operai e impiegati, a partire dalla data della Convenzione sino all’ultimo dato disponibile (spese acquisizione area, oneri di incidenza delle aree a </w:t>
      </w:r>
      <w:proofErr w:type="spellStart"/>
      <w:r w:rsidRPr="00815E0E">
        <w:rPr>
          <w:rFonts w:ascii="Times New Roman" w:hAnsi="Times New Roman"/>
          <w:spacing w:val="-5"/>
          <w:lang w:val="it-IT"/>
        </w:rPr>
        <w:t>standards</w:t>
      </w:r>
      <w:proofErr w:type="spellEnd"/>
      <w:r w:rsidRPr="00815E0E">
        <w:rPr>
          <w:rFonts w:ascii="Times New Roman" w:hAnsi="Times New Roman"/>
          <w:spacing w:val="-5"/>
          <w:lang w:val="it-IT"/>
        </w:rPr>
        <w:t>, ecc.).</w:t>
      </w:r>
    </w:p>
    <w:p w:rsidR="00AA1631" w:rsidRPr="00815E0E" w:rsidRDefault="00AA1631" w:rsidP="00AA1631">
      <w:pPr>
        <w:pStyle w:val="Paragrafoelenco"/>
        <w:numPr>
          <w:ilvl w:val="0"/>
          <w:numId w:val="7"/>
        </w:numPr>
        <w:spacing w:before="120" w:after="0" w:line="264" w:lineRule="auto"/>
        <w:ind w:left="799" w:right="136" w:hanging="357"/>
        <w:contextualSpacing w:val="0"/>
        <w:jc w:val="both"/>
        <w:rPr>
          <w:rFonts w:ascii="Times New Roman" w:hAnsi="Times New Roman"/>
          <w:spacing w:val="-5"/>
          <w:lang w:val="it-IT"/>
        </w:rPr>
      </w:pPr>
      <w:r w:rsidRPr="00815E0E">
        <w:rPr>
          <w:rFonts w:ascii="Times New Roman" w:hAnsi="Times New Roman"/>
          <w:b/>
          <w:bCs/>
          <w:spacing w:val="-5"/>
          <w:lang w:val="it-IT"/>
        </w:rPr>
        <w:t>M</w:t>
      </w:r>
      <w:r w:rsidRPr="00815E0E">
        <w:rPr>
          <w:rFonts w:ascii="Times New Roman" w:hAnsi="Times New Roman"/>
          <w:b/>
          <w:bCs/>
          <w:spacing w:val="-5"/>
          <w:vertAlign w:val="subscript"/>
          <w:lang w:val="it-IT"/>
        </w:rPr>
        <w:t>p</w:t>
      </w:r>
      <w:r w:rsidRPr="00815E0E">
        <w:rPr>
          <w:rFonts w:ascii="Times New Roman" w:hAnsi="Times New Roman"/>
          <w:spacing w:val="-5"/>
          <w:lang w:val="it-IT"/>
        </w:rPr>
        <w:t xml:space="preserve"> = Quota millesimale alloggio, box e relative pertinenze (</w:t>
      </w:r>
      <w:proofErr w:type="spellStart"/>
      <w:r w:rsidRPr="00815E0E">
        <w:rPr>
          <w:rFonts w:ascii="Times New Roman" w:hAnsi="Times New Roman"/>
          <w:spacing w:val="-5"/>
          <w:lang w:val="it-IT"/>
        </w:rPr>
        <w:t>mill</w:t>
      </w:r>
      <w:proofErr w:type="spellEnd"/>
      <w:r w:rsidRPr="00815E0E">
        <w:rPr>
          <w:rFonts w:ascii="Times New Roman" w:hAnsi="Times New Roman"/>
          <w:spacing w:val="-5"/>
          <w:lang w:val="it-IT"/>
        </w:rPr>
        <w:t>. /1000).</w:t>
      </w:r>
    </w:p>
    <w:p w:rsidR="00AA1631" w:rsidRPr="00815E0E" w:rsidRDefault="00AA1631" w:rsidP="00AA1631">
      <w:pPr>
        <w:pStyle w:val="Paragrafoelenco"/>
        <w:spacing w:before="120" w:after="0" w:line="264" w:lineRule="auto"/>
        <w:ind w:left="0" w:right="136"/>
        <w:contextualSpacing w:val="0"/>
        <w:jc w:val="both"/>
        <w:rPr>
          <w:rFonts w:ascii="Times New Roman" w:hAnsi="Times New Roman"/>
          <w:b/>
          <w:bCs/>
          <w:i/>
          <w:noProof/>
          <w:lang w:val="it-IT"/>
        </w:rPr>
      </w:pPr>
      <w:r w:rsidRPr="00815E0E">
        <w:rPr>
          <w:rFonts w:ascii="Times New Roman" w:hAnsi="Times New Roman"/>
          <w:b/>
          <w:bCs/>
          <w:i/>
          <w:noProof/>
          <w:lang w:val="it-IT"/>
        </w:rPr>
        <w:t>In ogni caso il suddetto corrispettivo non può superare il limite massimo di euro 5.000 per singola unità abitativa e relative pertinenze avente superficie residenziale catastale fino a 125 metri quadrati e di euro 10.000 per singola unità abitativa e relative pertinenze avente superficie residenziale catastale maggiore di 125 metri quadrati.</w:t>
      </w:r>
    </w:p>
    <w:p w:rsidR="00AA1631" w:rsidRPr="00815E0E" w:rsidRDefault="00AA1631" w:rsidP="00AA1631">
      <w:pPr>
        <w:pStyle w:val="Paragrafoelenco"/>
        <w:spacing w:before="120" w:after="0" w:line="264" w:lineRule="auto"/>
        <w:ind w:left="0" w:right="136"/>
        <w:contextualSpacing w:val="0"/>
        <w:jc w:val="both"/>
        <w:rPr>
          <w:rFonts w:ascii="Times New Roman" w:hAnsi="Times New Roman"/>
          <w:b/>
          <w:bCs/>
          <w:i/>
          <w:noProof/>
          <w:lang w:val="it-IT"/>
        </w:rPr>
      </w:pPr>
      <w:r w:rsidRPr="00815E0E">
        <w:rPr>
          <w:rFonts w:ascii="Times New Roman" w:hAnsi="Times New Roman"/>
          <w:b/>
          <w:bCs/>
          <w:i/>
          <w:noProof/>
          <w:lang w:val="it-IT"/>
        </w:rPr>
        <w:t>Superficie catastale degli immobili</w:t>
      </w:r>
    </w:p>
    <w:p w:rsidR="00AA1631" w:rsidRPr="00815E0E" w:rsidRDefault="00AA1631" w:rsidP="00AA1631">
      <w:pPr>
        <w:pStyle w:val="Paragrafoelenco"/>
        <w:spacing w:before="120" w:after="0" w:line="264" w:lineRule="auto"/>
        <w:ind w:left="0" w:right="136"/>
        <w:contextualSpacing w:val="0"/>
        <w:jc w:val="both"/>
        <w:rPr>
          <w:rFonts w:ascii="Times New Roman" w:hAnsi="Times New Roman"/>
          <w:lang w:val="it-IT"/>
        </w:rPr>
      </w:pPr>
      <w:r w:rsidRPr="00815E0E">
        <w:rPr>
          <w:rFonts w:ascii="Times New Roman" w:hAnsi="Times New Roman"/>
          <w:lang w:val="it-IT"/>
        </w:rPr>
        <w:t>La superficie catastale dell’immobile è calcolata sulla base di quanto stabilito dal D.P.R. 23 marzo 1998, n. 138 - Regolamento recante norme per la revisione generale delle zone censuarie, delle tariffe d'estimo delle unità immobiliari urbane e dei relativi criteri nonché delle commissioni censuarie in esecuzione dell'articolo 3, commi 154 e 155, della legge 23 dicembre 1996, n. 662 – con particolare riferimento all’allegato B e C.</w:t>
      </w:r>
    </w:p>
    <w:p w:rsidR="00AA1631" w:rsidRPr="00815E0E" w:rsidRDefault="00AA1631" w:rsidP="00AA1631">
      <w:pPr>
        <w:pStyle w:val="Paragrafoelenco"/>
        <w:spacing w:before="120" w:after="0" w:line="264" w:lineRule="auto"/>
        <w:ind w:left="0" w:right="136"/>
        <w:contextualSpacing w:val="0"/>
        <w:jc w:val="both"/>
        <w:rPr>
          <w:rFonts w:ascii="Times New Roman" w:hAnsi="Times New Roman"/>
          <w:b/>
          <w:bCs/>
          <w:color w:val="FF0000"/>
          <w:lang w:val="it-IT"/>
        </w:rPr>
      </w:pPr>
      <w:r w:rsidRPr="00815E0E">
        <w:rPr>
          <w:rFonts w:ascii="Times New Roman" w:hAnsi="Times New Roman"/>
          <w:lang w:val="it-IT"/>
        </w:rPr>
        <w:t xml:space="preserve">I dati della superficie comunque </w:t>
      </w:r>
      <w:r w:rsidRPr="00815E0E">
        <w:rPr>
          <w:rFonts w:ascii="Times New Roman" w:hAnsi="Times New Roman"/>
          <w:bCs/>
          <w:lang w:val="it-IT"/>
        </w:rPr>
        <w:t>possono essere recuperati direttamente con una visura catastale presso l’Agenzia delle Entrate, riportante la superficie catastale dell’immobile. Particolare attenzione deve essere prestata per i box, o per quelle pertinenze (es. cantine) che hanno una scheda catastale separata dall’immobile principale e che riportano una superficie catastale non computata con le percentuali dell’allegato C. Per una corretta determinazione della superficie catastale è opportuno applicare la riduzione di cui all’allegato C.</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b/>
          <w:bCs/>
          <w:i/>
          <w:iCs/>
        </w:rPr>
      </w:pPr>
      <w:r w:rsidRPr="00815E0E">
        <w:rPr>
          <w:rFonts w:ascii="Times New Roman" w:hAnsi="Times New Roman"/>
          <w:b/>
          <w:bCs/>
          <w:i/>
          <w:iCs/>
        </w:rPr>
        <w:t xml:space="preserve">Allegato B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iCs/>
        </w:rPr>
      </w:pPr>
      <w:r w:rsidRPr="00815E0E">
        <w:rPr>
          <w:rFonts w:ascii="Times New Roman" w:hAnsi="Times New Roman"/>
          <w:b/>
          <w:bCs/>
          <w:i/>
          <w:iCs/>
        </w:rPr>
        <w:t xml:space="preserve">QUADRO GENERALE DELLE CATEGORIE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exact"/>
        <w:jc w:val="center"/>
        <w:rPr>
          <w:rFonts w:ascii="Times New Roman" w:hAnsi="Times New Roman"/>
          <w:i/>
          <w:iCs/>
        </w:rPr>
      </w:pPr>
      <w:r w:rsidRPr="00815E0E">
        <w:rPr>
          <w:rFonts w:ascii="Times New Roman" w:hAnsi="Times New Roman"/>
          <w:i/>
          <w:iCs/>
        </w:rPr>
        <w:t xml:space="preserve"> Unità immobiliari ordinarie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jc w:val="center"/>
        <w:rPr>
          <w:rFonts w:ascii="Times New Roman" w:hAnsi="Times New Roman"/>
          <w:i/>
          <w:iCs/>
        </w:rPr>
      </w:pPr>
      <w:r w:rsidRPr="00815E0E">
        <w:rPr>
          <w:rFonts w:ascii="Times New Roman" w:hAnsi="Times New Roman"/>
          <w:i/>
          <w:iCs/>
        </w:rPr>
        <w:t xml:space="preserve"> Gruppo R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rPr>
      </w:pPr>
      <w:r w:rsidRPr="00815E0E">
        <w:rPr>
          <w:rFonts w:ascii="Times New Roman" w:hAnsi="Times New Roman"/>
          <w:i/>
          <w:iCs/>
        </w:rPr>
        <w:t>(Unità immobiliari a destinazione abitativa di tipo privato e locali destinati a funzioni complementari)</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E0E">
        <w:rPr>
          <w:rFonts w:ascii="Times New Roman" w:hAnsi="Times New Roman"/>
        </w:rPr>
        <w:t xml:space="preserve"> R/1 - Abitazioni in fabbricati residenziali e promiscui.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E0E">
        <w:rPr>
          <w:rFonts w:ascii="Times New Roman" w:hAnsi="Times New Roman"/>
        </w:rPr>
        <w:t xml:space="preserve"> R/2 - Abitazioni in villino e in villa.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E0E">
        <w:rPr>
          <w:rFonts w:ascii="Times New Roman" w:hAnsi="Times New Roman"/>
        </w:rPr>
        <w:t xml:space="preserve"> R/3 - Abitazioni tipiche dei luoghi.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E0E">
        <w:rPr>
          <w:rFonts w:ascii="Times New Roman" w:hAnsi="Times New Roman"/>
        </w:rPr>
        <w:t xml:space="preserve"> R/4 - Posti auto coperti, posti auto scoperti su aree private, locali per rimesse di veicoli.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jc w:val="center"/>
        <w:rPr>
          <w:rFonts w:ascii="Times New Roman" w:hAnsi="Times New Roman"/>
          <w:i/>
          <w:iCs/>
        </w:rPr>
      </w:pPr>
      <w:r w:rsidRPr="00815E0E">
        <w:rPr>
          <w:rFonts w:ascii="Times New Roman" w:hAnsi="Times New Roman"/>
          <w:i/>
          <w:iCs/>
        </w:rPr>
        <w:t xml:space="preserve">Gruppo P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rPr>
      </w:pPr>
      <w:r w:rsidRPr="00815E0E">
        <w:rPr>
          <w:rFonts w:ascii="Times New Roman" w:hAnsi="Times New Roman"/>
          <w:i/>
          <w:iCs/>
        </w:rPr>
        <w:t>(Unità immobiliari a destinazione pubblica o di interesse collettivo)</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E0E">
        <w:rPr>
          <w:rFonts w:ascii="Times New Roman" w:hAnsi="Times New Roman"/>
        </w:rPr>
        <w:t xml:space="preserve"> P/1 - Unità immobiliari per residenze collettive e simili.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E0E">
        <w:rPr>
          <w:rFonts w:ascii="Times New Roman" w:hAnsi="Times New Roman"/>
        </w:rPr>
        <w:t xml:space="preserve"> P/2 - Unità immobiliari per funzioni sanitarie.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E0E">
        <w:rPr>
          <w:rFonts w:ascii="Times New Roman" w:hAnsi="Times New Roman"/>
        </w:rPr>
        <w:t xml:space="preserve"> P/3 - Unità immobiliari per funzioni rieducative.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E0E">
        <w:rPr>
          <w:rFonts w:ascii="Times New Roman" w:hAnsi="Times New Roman"/>
        </w:rPr>
        <w:t xml:space="preserve"> P/4 - Unità immobiliari per funzioni amministrative, scolastiche e simili.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E0E">
        <w:rPr>
          <w:rFonts w:ascii="Times New Roman" w:hAnsi="Times New Roman"/>
        </w:rPr>
        <w:t xml:space="preserve"> P/5 - Unità immobiliari per funzioni culturali e simili.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jc w:val="center"/>
        <w:rPr>
          <w:rFonts w:ascii="Times New Roman" w:hAnsi="Times New Roman"/>
          <w:i/>
          <w:iCs/>
        </w:rPr>
      </w:pPr>
      <w:r w:rsidRPr="00815E0E">
        <w:rPr>
          <w:rFonts w:ascii="Times New Roman" w:hAnsi="Times New Roman"/>
          <w:i/>
          <w:iCs/>
        </w:rPr>
        <w:t xml:space="preserve"> Gruppo T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rPr>
      </w:pPr>
      <w:r w:rsidRPr="00815E0E">
        <w:rPr>
          <w:rFonts w:ascii="Times New Roman" w:hAnsi="Times New Roman"/>
          <w:i/>
          <w:iCs/>
        </w:rPr>
        <w:t>(Unità immobiliari a destinazione terziaria)</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E0E">
        <w:rPr>
          <w:rFonts w:ascii="Times New Roman" w:hAnsi="Times New Roman"/>
        </w:rPr>
        <w:t xml:space="preserve"> T/1 - Negozi e locali assimilabili.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E0E">
        <w:rPr>
          <w:rFonts w:ascii="Times New Roman" w:hAnsi="Times New Roman"/>
        </w:rPr>
        <w:t xml:space="preserve"> T/2 - Magazzini, locali da deposito e laboratori artigianali.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E0E">
        <w:rPr>
          <w:rFonts w:ascii="Times New Roman" w:hAnsi="Times New Roman"/>
        </w:rPr>
        <w:t xml:space="preserve"> T/3 - Fabbricati e locali per esercizi sportivi.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E0E">
        <w:rPr>
          <w:rFonts w:ascii="Times New Roman" w:hAnsi="Times New Roman"/>
        </w:rPr>
        <w:t xml:space="preserve"> T/4 - Pensioni.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E0E">
        <w:rPr>
          <w:rFonts w:ascii="Times New Roman" w:hAnsi="Times New Roman"/>
        </w:rPr>
        <w:t xml:space="preserve"> T/5 - Autosilos, autorimesse e parcheggi a raso di tipo pubblico.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E0E">
        <w:rPr>
          <w:rFonts w:ascii="Times New Roman" w:hAnsi="Times New Roman"/>
        </w:rPr>
        <w:t xml:space="preserve"> T/6 - Stalle, scuderie e simili.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E0E">
        <w:rPr>
          <w:rFonts w:ascii="Times New Roman" w:hAnsi="Times New Roman"/>
        </w:rPr>
        <w:t xml:space="preserve"> T/7 - Uffici, studi e laboratori professionali.</w:t>
      </w:r>
    </w:p>
    <w:p w:rsidR="00AA1631" w:rsidRPr="00815E0E" w:rsidRDefault="00AA1631" w:rsidP="00AA1631">
      <w:pPr>
        <w:pStyle w:val="Paragrafoelenco"/>
        <w:spacing w:before="240" w:after="0" w:line="264" w:lineRule="auto"/>
        <w:ind w:left="0" w:right="136"/>
        <w:contextualSpacing w:val="0"/>
        <w:jc w:val="both"/>
        <w:rPr>
          <w:rFonts w:ascii="Times New Roman" w:hAnsi="Times New Roman"/>
          <w:b/>
          <w:bCs/>
          <w:i/>
          <w:iCs/>
          <w:lang w:val="it-IT" w:eastAsia="it-IT"/>
        </w:rPr>
      </w:pPr>
      <w:r w:rsidRPr="00815E0E">
        <w:rPr>
          <w:rFonts w:ascii="Times New Roman" w:hAnsi="Times New Roman"/>
          <w:b/>
          <w:bCs/>
          <w:i/>
          <w:iCs/>
          <w:lang w:val="it-IT" w:eastAsia="it-IT"/>
        </w:rPr>
        <w:t>ALLEGATO C</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iCs/>
        </w:rPr>
      </w:pPr>
      <w:r w:rsidRPr="00815E0E">
        <w:rPr>
          <w:rFonts w:ascii="Times New Roman" w:hAnsi="Times New Roman"/>
          <w:b/>
          <w:bCs/>
          <w:i/>
          <w:iCs/>
        </w:rPr>
        <w:lastRenderedPageBreak/>
        <w:t>NORME TECNICHE PER LA DETERMINAZIONE DELLA SUPERFICIE CATASTALE DELLE UNITA' IMMOBILIARI A DESTINAZIONE ORDINARIA (GRUPPI R, P, T).</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exact"/>
        <w:jc w:val="center"/>
        <w:rPr>
          <w:rFonts w:ascii="Times New Roman" w:hAnsi="Times New Roman"/>
          <w:i/>
          <w:iCs/>
        </w:rPr>
      </w:pPr>
      <w:r w:rsidRPr="00815E0E">
        <w:rPr>
          <w:rFonts w:ascii="Times New Roman" w:hAnsi="Times New Roman"/>
          <w:i/>
          <w:iCs/>
        </w:rPr>
        <w:t xml:space="preserve"> Criteri generali </w:t>
      </w:r>
    </w:p>
    <w:p w:rsidR="00AA1631" w:rsidRPr="00815E0E" w:rsidRDefault="00AA1631" w:rsidP="00AA1631">
      <w:pPr>
        <w:pStyle w:val="Paragrafoelenco"/>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ind w:left="357" w:hanging="357"/>
        <w:contextualSpacing w:val="0"/>
        <w:jc w:val="both"/>
        <w:rPr>
          <w:rFonts w:ascii="Times New Roman" w:hAnsi="Times New Roman"/>
          <w:lang w:val="it-IT"/>
        </w:rPr>
      </w:pPr>
      <w:r w:rsidRPr="00815E0E">
        <w:rPr>
          <w:rFonts w:ascii="Times New Roman" w:hAnsi="Times New Roman"/>
          <w:lang w:val="it-IT"/>
        </w:rPr>
        <w:t xml:space="preserve">Nella determinazione della superficie catastale delle unità immobiliari a destinazione ordinaria, i muri interni e quelli perimetrali esterni vengono computati per intero fino ad uno spessore massimo di 50 cm, mentre i muri in comunione nella misura del 50 per cento fino ad uno spessore massimo di 25 cm. </w:t>
      </w:r>
    </w:p>
    <w:p w:rsidR="00AA1631" w:rsidRPr="00815E0E" w:rsidRDefault="00AA1631" w:rsidP="00AA1631">
      <w:pPr>
        <w:pStyle w:val="Paragrafoelenco"/>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ind w:left="357" w:hanging="357"/>
        <w:contextualSpacing w:val="0"/>
        <w:jc w:val="both"/>
        <w:rPr>
          <w:rFonts w:ascii="Times New Roman" w:hAnsi="Times New Roman"/>
          <w:lang w:val="it-IT"/>
        </w:rPr>
      </w:pPr>
      <w:r w:rsidRPr="00815E0E">
        <w:rPr>
          <w:rFonts w:ascii="Times New Roman" w:hAnsi="Times New Roman"/>
          <w:lang w:val="it-IT"/>
        </w:rPr>
        <w:t xml:space="preserve">La superficie dei locali principali e degli accessori, ovvero loro porzioni, aventi altezza utile inferiore a 1,50 m, non entra nel computo della superficie catastale. </w:t>
      </w:r>
    </w:p>
    <w:p w:rsidR="00AA1631" w:rsidRPr="00815E0E" w:rsidRDefault="00AA1631" w:rsidP="00AA1631">
      <w:pPr>
        <w:pStyle w:val="Paragrafoelenco"/>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ind w:left="357" w:hanging="357"/>
        <w:contextualSpacing w:val="0"/>
        <w:jc w:val="both"/>
        <w:rPr>
          <w:rFonts w:ascii="Times New Roman" w:hAnsi="Times New Roman"/>
          <w:lang w:val="it-IT"/>
        </w:rPr>
      </w:pPr>
      <w:r w:rsidRPr="00815E0E">
        <w:rPr>
          <w:rFonts w:ascii="Times New Roman" w:hAnsi="Times New Roman"/>
          <w:lang w:val="it-IT"/>
        </w:rPr>
        <w:t xml:space="preserve">La superficie degli elementi di collegamento verticale, quali scale, rampe, ascensori e simili, interni alle unità immobiliari sono computati in misura pari alla loro proiezione orizzontale, indipendentemente dal numero di piani collegati. </w:t>
      </w:r>
    </w:p>
    <w:p w:rsidR="00AA1631" w:rsidRPr="00815E0E" w:rsidRDefault="00AA1631" w:rsidP="00AA1631">
      <w:pPr>
        <w:pStyle w:val="Paragrafoelenco"/>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ind w:left="357" w:hanging="357"/>
        <w:contextualSpacing w:val="0"/>
        <w:jc w:val="both"/>
        <w:rPr>
          <w:rFonts w:ascii="Times New Roman" w:hAnsi="Times New Roman"/>
          <w:lang w:val="it-IT"/>
        </w:rPr>
      </w:pPr>
      <w:r w:rsidRPr="00815E0E">
        <w:rPr>
          <w:rFonts w:ascii="Times New Roman" w:hAnsi="Times New Roman"/>
          <w:lang w:val="it-IT"/>
        </w:rPr>
        <w:t>La superficie catastale, determinata secondo i criteri esposti di seguito, viene arrotondata al metro quadrato.</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exact"/>
        <w:jc w:val="center"/>
        <w:rPr>
          <w:rFonts w:ascii="Times New Roman" w:hAnsi="Times New Roman"/>
          <w:i/>
          <w:iCs/>
        </w:rPr>
      </w:pPr>
      <w:r w:rsidRPr="00815E0E">
        <w:rPr>
          <w:rFonts w:ascii="Times New Roman" w:hAnsi="Times New Roman"/>
          <w:i/>
          <w:iCs/>
        </w:rPr>
        <w:t>Criteri per i gruppi "R" e "P"</w:t>
      </w:r>
    </w:p>
    <w:p w:rsidR="00AA1631" w:rsidRPr="00815E0E" w:rsidRDefault="00AA1631" w:rsidP="00AA1631">
      <w:pPr>
        <w:pStyle w:val="Paragrafoelenco"/>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ind w:left="357" w:hanging="357"/>
        <w:contextualSpacing w:val="0"/>
        <w:jc w:val="both"/>
        <w:rPr>
          <w:rFonts w:ascii="Times New Roman" w:hAnsi="Times New Roman"/>
          <w:lang w:val="it-IT"/>
        </w:rPr>
      </w:pPr>
      <w:r w:rsidRPr="00815E0E">
        <w:rPr>
          <w:rFonts w:ascii="Times New Roman" w:hAnsi="Times New Roman"/>
          <w:lang w:val="it-IT"/>
        </w:rPr>
        <w:t xml:space="preserve">Per le unità immobiliari appartenenti alle categorie dei gruppi R e P, la superficie catastale è data dalla somma: </w:t>
      </w:r>
    </w:p>
    <w:p w:rsidR="00AA1631" w:rsidRPr="00815E0E" w:rsidRDefault="00AA1631" w:rsidP="00AA1631">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ind w:left="714" w:hanging="357"/>
        <w:contextualSpacing w:val="0"/>
        <w:jc w:val="both"/>
        <w:rPr>
          <w:rFonts w:ascii="Times New Roman" w:hAnsi="Times New Roman"/>
          <w:lang w:val="it-IT"/>
        </w:rPr>
      </w:pPr>
      <w:proofErr w:type="gramStart"/>
      <w:r w:rsidRPr="00815E0E">
        <w:rPr>
          <w:rFonts w:ascii="Times New Roman" w:hAnsi="Times New Roman"/>
          <w:lang w:val="it-IT"/>
        </w:rPr>
        <w:t>della</w:t>
      </w:r>
      <w:proofErr w:type="gramEnd"/>
      <w:r w:rsidRPr="00815E0E">
        <w:rPr>
          <w:rFonts w:ascii="Times New Roman" w:hAnsi="Times New Roman"/>
          <w:lang w:val="it-IT"/>
        </w:rPr>
        <w:t xml:space="preserve"> superficie dei vani principali e dei vani accessori a servizio diretto di quelli principali quali bagni, ripostigli, ingressi, corridoi e simili; </w:t>
      </w:r>
    </w:p>
    <w:p w:rsidR="00AA1631" w:rsidRPr="00815E0E" w:rsidRDefault="00AA1631" w:rsidP="00AA1631">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ind w:left="714" w:hanging="357"/>
        <w:contextualSpacing w:val="0"/>
        <w:jc w:val="both"/>
        <w:rPr>
          <w:rFonts w:ascii="Times New Roman" w:hAnsi="Times New Roman"/>
          <w:lang w:val="it-IT"/>
        </w:rPr>
      </w:pPr>
      <w:proofErr w:type="gramStart"/>
      <w:r w:rsidRPr="00815E0E">
        <w:rPr>
          <w:rFonts w:ascii="Times New Roman" w:hAnsi="Times New Roman"/>
          <w:lang w:val="it-IT"/>
        </w:rPr>
        <w:t>della</w:t>
      </w:r>
      <w:proofErr w:type="gramEnd"/>
      <w:r w:rsidRPr="00815E0E">
        <w:rPr>
          <w:rFonts w:ascii="Times New Roman" w:hAnsi="Times New Roman"/>
          <w:lang w:val="it-IT"/>
        </w:rPr>
        <w:t xml:space="preserve"> superficie dei vani accessori a servizio indiretto dei vani principali, quali soffitte, cantine e simili, computata nella misura: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exact"/>
        <w:ind w:left="714"/>
        <w:jc w:val="both"/>
        <w:rPr>
          <w:rFonts w:ascii="Times New Roman" w:hAnsi="Times New Roman"/>
        </w:rPr>
      </w:pPr>
      <w:proofErr w:type="gramStart"/>
      <w:r w:rsidRPr="00815E0E">
        <w:rPr>
          <w:rFonts w:ascii="Times New Roman" w:hAnsi="Times New Roman"/>
        </w:rPr>
        <w:t>del</w:t>
      </w:r>
      <w:proofErr w:type="gramEnd"/>
      <w:r w:rsidRPr="00815E0E">
        <w:rPr>
          <w:rFonts w:ascii="Times New Roman" w:hAnsi="Times New Roman"/>
        </w:rPr>
        <w:t xml:space="preserve"> 50 per cento, qualora comunicanti con i vani di cui alla precedente lettera a);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exact"/>
        <w:ind w:left="714"/>
        <w:jc w:val="both"/>
        <w:rPr>
          <w:rFonts w:ascii="Times New Roman" w:hAnsi="Times New Roman"/>
        </w:rPr>
      </w:pPr>
      <w:proofErr w:type="gramStart"/>
      <w:r w:rsidRPr="00815E0E">
        <w:rPr>
          <w:rFonts w:ascii="Times New Roman" w:hAnsi="Times New Roman"/>
        </w:rPr>
        <w:t>del</w:t>
      </w:r>
      <w:proofErr w:type="gramEnd"/>
      <w:r w:rsidRPr="00815E0E">
        <w:rPr>
          <w:rFonts w:ascii="Times New Roman" w:hAnsi="Times New Roman"/>
        </w:rPr>
        <w:t xml:space="preserve"> 25 per cento qualora non comunicanti; </w:t>
      </w:r>
    </w:p>
    <w:p w:rsidR="00AA1631" w:rsidRPr="00815E0E" w:rsidRDefault="00AA1631" w:rsidP="00AA1631">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ind w:left="714" w:hanging="357"/>
        <w:contextualSpacing w:val="0"/>
        <w:jc w:val="both"/>
        <w:rPr>
          <w:rFonts w:ascii="Times New Roman" w:hAnsi="Times New Roman"/>
          <w:lang w:val="it-IT"/>
        </w:rPr>
      </w:pPr>
      <w:proofErr w:type="gramStart"/>
      <w:r w:rsidRPr="00815E0E">
        <w:rPr>
          <w:rFonts w:ascii="Times New Roman" w:hAnsi="Times New Roman"/>
          <w:lang w:val="it-IT"/>
        </w:rPr>
        <w:t>della</w:t>
      </w:r>
      <w:proofErr w:type="gramEnd"/>
      <w:r w:rsidRPr="00815E0E">
        <w:rPr>
          <w:rFonts w:ascii="Times New Roman" w:hAnsi="Times New Roman"/>
          <w:lang w:val="it-IT"/>
        </w:rPr>
        <w:t xml:space="preserve"> superficie dei balconi, terrazze e simili, di pertinenza esclusiva nella singola unità immobiliare, computata nella misura: </w:t>
      </w:r>
    </w:p>
    <w:p w:rsidR="00AA1631" w:rsidRPr="00815E0E" w:rsidRDefault="00AA1631" w:rsidP="00AA163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exact"/>
        <w:jc w:val="both"/>
        <w:rPr>
          <w:rFonts w:ascii="Times New Roman" w:hAnsi="Times New Roman"/>
          <w:lang w:val="it-IT"/>
        </w:rPr>
      </w:pPr>
      <w:proofErr w:type="gramStart"/>
      <w:r w:rsidRPr="00815E0E">
        <w:rPr>
          <w:rFonts w:ascii="Times New Roman" w:hAnsi="Times New Roman"/>
          <w:lang w:val="it-IT"/>
        </w:rPr>
        <w:t>del</w:t>
      </w:r>
      <w:proofErr w:type="gramEnd"/>
      <w:r w:rsidRPr="00815E0E">
        <w:rPr>
          <w:rFonts w:ascii="Times New Roman" w:hAnsi="Times New Roman"/>
          <w:lang w:val="it-IT"/>
        </w:rPr>
        <w:t xml:space="preserve"> 30 per cento, fino a metri quadrati 25, e del 10 per cento per la quota eccedente, qualora dette pertinenze siano comunicanti con i vani di cui alla precedente lettera a); </w:t>
      </w:r>
    </w:p>
    <w:p w:rsidR="00AA1631" w:rsidRPr="00815E0E" w:rsidRDefault="00AA1631" w:rsidP="00AA163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exact"/>
        <w:jc w:val="both"/>
        <w:rPr>
          <w:rFonts w:ascii="Times New Roman" w:hAnsi="Times New Roman"/>
          <w:lang w:val="it-IT"/>
        </w:rPr>
      </w:pPr>
      <w:proofErr w:type="gramStart"/>
      <w:r w:rsidRPr="00815E0E">
        <w:rPr>
          <w:rFonts w:ascii="Times New Roman" w:hAnsi="Times New Roman"/>
          <w:lang w:val="it-IT"/>
        </w:rPr>
        <w:t>del</w:t>
      </w:r>
      <w:proofErr w:type="gramEnd"/>
      <w:r w:rsidRPr="00815E0E">
        <w:rPr>
          <w:rFonts w:ascii="Times New Roman" w:hAnsi="Times New Roman"/>
          <w:lang w:val="it-IT"/>
        </w:rPr>
        <w:t xml:space="preserve"> 15 per cento, fino a metri quadrati 25, e del 5 per cento per la quota eccedente qualora non comunicanti.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exact"/>
        <w:ind w:left="714"/>
        <w:jc w:val="both"/>
        <w:rPr>
          <w:rFonts w:ascii="Times New Roman" w:hAnsi="Times New Roman"/>
        </w:rPr>
      </w:pPr>
      <w:r w:rsidRPr="00815E0E">
        <w:rPr>
          <w:rFonts w:ascii="Times New Roman" w:hAnsi="Times New Roman"/>
        </w:rPr>
        <w:t xml:space="preserve">Per le unità immobiliari appartenenti alle categorie del gruppo P, la superficie di queste pertinenze è computata nella misura del 10 per cento; </w:t>
      </w:r>
    </w:p>
    <w:p w:rsidR="00AA1631" w:rsidRPr="00815E0E" w:rsidRDefault="00AA1631" w:rsidP="00AA1631">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ind w:left="714" w:hanging="357"/>
        <w:contextualSpacing w:val="0"/>
        <w:jc w:val="both"/>
        <w:rPr>
          <w:rFonts w:ascii="Times New Roman" w:hAnsi="Times New Roman"/>
          <w:lang w:val="it-IT"/>
        </w:rPr>
      </w:pPr>
      <w:proofErr w:type="gramStart"/>
      <w:r w:rsidRPr="00815E0E">
        <w:rPr>
          <w:rFonts w:ascii="Times New Roman" w:hAnsi="Times New Roman"/>
          <w:lang w:val="it-IT"/>
        </w:rPr>
        <w:t>della</w:t>
      </w:r>
      <w:proofErr w:type="gramEnd"/>
      <w:r w:rsidRPr="00815E0E">
        <w:rPr>
          <w:rFonts w:ascii="Times New Roman" w:hAnsi="Times New Roman"/>
          <w:lang w:val="it-IT"/>
        </w:rPr>
        <w:t xml:space="preserve"> superficie dell'area scoperta o a questa assimilabile, che costituisce pertinenza esclusiva della singola unità immobiliare, computata nella misura del 10 per cento, fino alla superficie definita nella lettera a), e del 2 per cento per superfici eccedenti detto limite. Per parchi, giardini, corti e simili, che costituiscono pertinenze di unità immobiliari di categoria R/2, la relativa superficie è da computare, con il criterio sopra indicato, solo per la quota eccedente il quintuplo della superficie catastale di cui alla lettera a). Per le unità immobiliari appartenenti alle categorie del gruppo P dette pertinenze non sono computate. </w:t>
      </w:r>
    </w:p>
    <w:p w:rsidR="00AA1631" w:rsidRPr="00815E0E" w:rsidRDefault="00AA1631" w:rsidP="00AA1631">
      <w:pPr>
        <w:pStyle w:val="Paragrafoelenco"/>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ind w:left="357" w:hanging="357"/>
        <w:contextualSpacing w:val="0"/>
        <w:jc w:val="both"/>
        <w:rPr>
          <w:rFonts w:ascii="Times New Roman" w:hAnsi="Times New Roman"/>
          <w:lang w:val="it-IT"/>
        </w:rPr>
      </w:pPr>
      <w:r w:rsidRPr="00815E0E">
        <w:rPr>
          <w:rFonts w:ascii="Times New Roman" w:hAnsi="Times New Roman"/>
          <w:lang w:val="it-IT"/>
        </w:rPr>
        <w:t xml:space="preserve">La superficie dei vani accessori a servizio diretto delle unità immobiliari di categoria R/4 è computata nella misura del 50 per cento. </w:t>
      </w:r>
    </w:p>
    <w:p w:rsidR="00AA1631" w:rsidRPr="00815E0E" w:rsidRDefault="00AA1631" w:rsidP="00AA1631">
      <w:pPr>
        <w:pStyle w:val="Paragrafoelenco"/>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ind w:left="357" w:hanging="357"/>
        <w:contextualSpacing w:val="0"/>
        <w:jc w:val="both"/>
        <w:rPr>
          <w:rFonts w:ascii="Times New Roman" w:hAnsi="Times New Roman"/>
          <w:lang w:val="it-IT"/>
        </w:rPr>
      </w:pPr>
      <w:r w:rsidRPr="00815E0E">
        <w:rPr>
          <w:rFonts w:ascii="Times New Roman" w:hAnsi="Times New Roman"/>
          <w:lang w:val="it-IT"/>
        </w:rPr>
        <w:t xml:space="preserve">Le superfici delle pertinenze e dei vani accessori a servizio indiretto di quelli principali, definite con le modalità dei precedenti commi, entrano nel computo della superficie catastale fino ad un massimo pari alla metà della superficie dei vani di cui alla lettera a) del comma 1. </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exact"/>
        <w:jc w:val="center"/>
        <w:rPr>
          <w:rFonts w:ascii="Times New Roman" w:hAnsi="Times New Roman"/>
          <w:i/>
          <w:iCs/>
        </w:rPr>
      </w:pPr>
      <w:r w:rsidRPr="00815E0E">
        <w:rPr>
          <w:rFonts w:ascii="Times New Roman" w:hAnsi="Times New Roman"/>
          <w:i/>
          <w:iCs/>
        </w:rPr>
        <w:t xml:space="preserve">Criteri per il gruppo "T" </w:t>
      </w:r>
    </w:p>
    <w:p w:rsidR="00AA1631" w:rsidRPr="00815E0E" w:rsidRDefault="00AA1631" w:rsidP="00AA1631">
      <w:pPr>
        <w:pStyle w:val="Paragrafoelenco"/>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lang w:val="it-IT"/>
        </w:rPr>
      </w:pPr>
      <w:r w:rsidRPr="00815E0E">
        <w:rPr>
          <w:rFonts w:ascii="Times New Roman" w:hAnsi="Times New Roman"/>
          <w:lang w:val="it-IT"/>
        </w:rPr>
        <w:t xml:space="preserve">Per le unità immobiliari appartenenti alle categorie del gruppo T, la superficie catastale è data dalla somma: </w:t>
      </w:r>
    </w:p>
    <w:p w:rsidR="00AA1631" w:rsidRPr="00815E0E" w:rsidRDefault="00AA1631" w:rsidP="00AA1631">
      <w:pPr>
        <w:pStyle w:val="Paragrafoelenco"/>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ind w:left="714" w:hanging="357"/>
        <w:contextualSpacing w:val="0"/>
        <w:jc w:val="both"/>
        <w:rPr>
          <w:rFonts w:ascii="Times New Roman" w:hAnsi="Times New Roman"/>
          <w:lang w:val="it-IT"/>
        </w:rPr>
      </w:pPr>
      <w:proofErr w:type="gramStart"/>
      <w:r w:rsidRPr="00815E0E">
        <w:rPr>
          <w:rFonts w:ascii="Times New Roman" w:hAnsi="Times New Roman"/>
          <w:lang w:val="it-IT"/>
        </w:rPr>
        <w:t>della</w:t>
      </w:r>
      <w:proofErr w:type="gramEnd"/>
      <w:r w:rsidRPr="00815E0E">
        <w:rPr>
          <w:rFonts w:ascii="Times New Roman" w:hAnsi="Times New Roman"/>
          <w:lang w:val="it-IT"/>
        </w:rPr>
        <w:t xml:space="preserve"> superficie dei locali aventi funzione principale nella specifica categoria e dei locali accessori a servizio diretto di quelli principali; </w:t>
      </w:r>
    </w:p>
    <w:p w:rsidR="00AA1631" w:rsidRPr="00815E0E" w:rsidRDefault="00AA1631" w:rsidP="00AA1631">
      <w:pPr>
        <w:pStyle w:val="Paragrafoelenco"/>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contextualSpacing w:val="0"/>
        <w:jc w:val="both"/>
        <w:rPr>
          <w:rFonts w:ascii="Times New Roman" w:hAnsi="Times New Roman"/>
          <w:lang w:val="it-IT"/>
        </w:rPr>
      </w:pPr>
      <w:proofErr w:type="gramStart"/>
      <w:r w:rsidRPr="00815E0E">
        <w:rPr>
          <w:rFonts w:ascii="Times New Roman" w:hAnsi="Times New Roman"/>
          <w:lang w:val="it-IT"/>
        </w:rPr>
        <w:t>della</w:t>
      </w:r>
      <w:proofErr w:type="gramEnd"/>
      <w:r w:rsidRPr="00815E0E">
        <w:rPr>
          <w:rFonts w:ascii="Times New Roman" w:hAnsi="Times New Roman"/>
          <w:lang w:val="it-IT"/>
        </w:rPr>
        <w:t xml:space="preserve"> superficie dei locali accessori a servizio indiretto dei locali principali computata nella misura: </w:t>
      </w:r>
    </w:p>
    <w:p w:rsidR="00AA1631" w:rsidRPr="00815E0E" w:rsidRDefault="00AA1631" w:rsidP="00AA1631">
      <w:pPr>
        <w:pStyle w:val="Paragrafoelenco"/>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exact"/>
        <w:ind w:hanging="357"/>
        <w:contextualSpacing w:val="0"/>
        <w:jc w:val="both"/>
        <w:rPr>
          <w:rFonts w:ascii="Times New Roman" w:hAnsi="Times New Roman"/>
          <w:lang w:val="it-IT"/>
        </w:rPr>
      </w:pPr>
      <w:proofErr w:type="gramStart"/>
      <w:r w:rsidRPr="00815E0E">
        <w:rPr>
          <w:rFonts w:ascii="Times New Roman" w:hAnsi="Times New Roman"/>
          <w:lang w:val="it-IT"/>
        </w:rPr>
        <w:t>del</w:t>
      </w:r>
      <w:proofErr w:type="gramEnd"/>
      <w:r w:rsidRPr="00815E0E">
        <w:rPr>
          <w:rFonts w:ascii="Times New Roman" w:hAnsi="Times New Roman"/>
          <w:lang w:val="it-IT"/>
        </w:rPr>
        <w:t xml:space="preserve"> 50 per cento, se comunicanti con i locali di cui alla precedente lettera a); </w:t>
      </w:r>
    </w:p>
    <w:p w:rsidR="00AA1631" w:rsidRPr="00815E0E" w:rsidRDefault="00AA1631" w:rsidP="00AA1631">
      <w:pPr>
        <w:pStyle w:val="Paragrafoelenco"/>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exact"/>
        <w:ind w:hanging="357"/>
        <w:contextualSpacing w:val="0"/>
        <w:jc w:val="both"/>
        <w:rPr>
          <w:rFonts w:ascii="Times New Roman" w:hAnsi="Times New Roman"/>
          <w:lang w:val="it-IT"/>
        </w:rPr>
      </w:pPr>
      <w:proofErr w:type="gramStart"/>
      <w:r w:rsidRPr="00815E0E">
        <w:rPr>
          <w:rFonts w:ascii="Times New Roman" w:hAnsi="Times New Roman"/>
          <w:lang w:val="it-IT"/>
        </w:rPr>
        <w:t>del</w:t>
      </w:r>
      <w:proofErr w:type="gramEnd"/>
      <w:r w:rsidRPr="00815E0E">
        <w:rPr>
          <w:rFonts w:ascii="Times New Roman" w:hAnsi="Times New Roman"/>
          <w:lang w:val="it-IT"/>
        </w:rPr>
        <w:t xml:space="preserve"> 25 per cento se non comunicanti; </w:t>
      </w:r>
    </w:p>
    <w:p w:rsidR="00AA1631" w:rsidRPr="00815E0E" w:rsidRDefault="00AA1631" w:rsidP="00AA1631">
      <w:pPr>
        <w:pStyle w:val="Paragrafoelenco"/>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ind w:left="714" w:hanging="357"/>
        <w:contextualSpacing w:val="0"/>
        <w:jc w:val="both"/>
        <w:rPr>
          <w:rFonts w:ascii="Times New Roman" w:hAnsi="Times New Roman"/>
          <w:lang w:val="it-IT"/>
        </w:rPr>
      </w:pPr>
      <w:proofErr w:type="gramStart"/>
      <w:r w:rsidRPr="00815E0E">
        <w:rPr>
          <w:rFonts w:ascii="Times New Roman" w:hAnsi="Times New Roman"/>
          <w:lang w:val="it-IT"/>
        </w:rPr>
        <w:lastRenderedPageBreak/>
        <w:t>della</w:t>
      </w:r>
      <w:proofErr w:type="gramEnd"/>
      <w:r w:rsidRPr="00815E0E">
        <w:rPr>
          <w:rFonts w:ascii="Times New Roman" w:hAnsi="Times New Roman"/>
          <w:lang w:val="it-IT"/>
        </w:rPr>
        <w:t xml:space="preserve"> superficie dei balconi, terrazze e simili computata nella misura del 10 per cento; </w:t>
      </w:r>
    </w:p>
    <w:p w:rsidR="00AA1631" w:rsidRPr="00815E0E" w:rsidRDefault="00AA1631" w:rsidP="00AA1631">
      <w:pPr>
        <w:pStyle w:val="Paragrafoelenco"/>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ind w:left="714" w:hanging="357"/>
        <w:contextualSpacing w:val="0"/>
        <w:jc w:val="both"/>
        <w:rPr>
          <w:rFonts w:ascii="Times New Roman" w:hAnsi="Times New Roman"/>
          <w:lang w:val="it-IT"/>
        </w:rPr>
      </w:pPr>
      <w:proofErr w:type="gramStart"/>
      <w:r w:rsidRPr="00815E0E">
        <w:rPr>
          <w:rFonts w:ascii="Times New Roman" w:hAnsi="Times New Roman"/>
          <w:lang w:val="it-IT"/>
        </w:rPr>
        <w:t>della</w:t>
      </w:r>
      <w:proofErr w:type="gramEnd"/>
      <w:r w:rsidRPr="00815E0E">
        <w:rPr>
          <w:rFonts w:ascii="Times New Roman" w:hAnsi="Times New Roman"/>
          <w:lang w:val="it-IT"/>
        </w:rPr>
        <w:t xml:space="preserve"> superficie dell'area scoperta o a questa assimilabile, che costituisce pertinenza esclusiva della singola unità immobiliare computata nella misura del 10 per cento, ovvero, per le unità immobiliari di categoria T/1, nella misura del 20 per cento. </w:t>
      </w:r>
    </w:p>
    <w:p w:rsidR="00AA1631" w:rsidRPr="00815E0E" w:rsidRDefault="00AA1631" w:rsidP="00AA1631">
      <w:pPr>
        <w:pStyle w:val="Paragrafoelenco"/>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lang w:val="it-IT"/>
        </w:rPr>
      </w:pPr>
      <w:r w:rsidRPr="00815E0E">
        <w:rPr>
          <w:rFonts w:ascii="Times New Roman" w:hAnsi="Times New Roman"/>
          <w:lang w:val="it-IT"/>
        </w:rPr>
        <w:t>Per le unità immobiliari appartenenti alla categoria T/1, la superficie dei locali accessori a servizio diretto di quelli principali di cui alla lettera a) del precedente comma 1, è computata nella misura del 50 per cento.</w:t>
      </w:r>
    </w:p>
    <w:p w:rsidR="00AA1631" w:rsidRPr="00815E0E" w:rsidRDefault="00AA1631" w:rsidP="00A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AA1631" w:rsidRPr="00815E0E" w:rsidRDefault="00AA1631" w:rsidP="00AA1631">
      <w:pPr>
        <w:pStyle w:val="Paragrafoelenco"/>
        <w:spacing w:before="120" w:after="0" w:line="264" w:lineRule="auto"/>
        <w:ind w:left="0" w:right="136"/>
        <w:contextualSpacing w:val="0"/>
        <w:jc w:val="both"/>
        <w:rPr>
          <w:rFonts w:ascii="Times New Roman" w:hAnsi="Times New Roman"/>
          <w:b/>
          <w:bCs/>
          <w:i/>
          <w:noProof/>
          <w:lang w:val="it-IT"/>
        </w:rPr>
      </w:pPr>
    </w:p>
    <w:p w:rsidR="00AA1631" w:rsidRPr="00815E0E" w:rsidRDefault="00AA1631" w:rsidP="00AA1631">
      <w:pPr>
        <w:spacing w:before="240" w:after="0" w:line="240" w:lineRule="auto"/>
        <w:ind w:right="-28"/>
        <w:rPr>
          <w:rFonts w:ascii="Times New Roman" w:hAnsi="Times New Roman"/>
          <w:b/>
          <w:u w:val="single"/>
          <w:shd w:val="clear" w:color="auto" w:fill="FFFFFE"/>
          <w:lang w:bidi="he-IL"/>
        </w:rPr>
      </w:pPr>
      <w:r w:rsidRPr="00815E0E">
        <w:rPr>
          <w:rFonts w:ascii="Times New Roman" w:hAnsi="Times New Roman"/>
          <w:b/>
          <w:u w:val="single"/>
          <w:shd w:val="clear" w:color="auto" w:fill="FFFFFE"/>
          <w:lang w:bidi="he-IL"/>
        </w:rPr>
        <w:t>ESEMPIO 1</w:t>
      </w:r>
    </w:p>
    <w:p w:rsidR="00AA1631" w:rsidRPr="00815E0E" w:rsidRDefault="00AA1631" w:rsidP="00AA1631">
      <w:pPr>
        <w:pStyle w:val="Paragrafoelenco"/>
        <w:spacing w:before="40" w:after="0" w:line="264" w:lineRule="auto"/>
        <w:ind w:left="0" w:right="136"/>
        <w:contextualSpacing w:val="0"/>
        <w:jc w:val="both"/>
        <w:rPr>
          <w:rFonts w:ascii="Times New Roman" w:hAnsi="Times New Roman"/>
          <w:iCs/>
          <w:noProof/>
          <w:lang w:val="it-IT"/>
        </w:rPr>
      </w:pPr>
      <w:r w:rsidRPr="00815E0E">
        <w:rPr>
          <w:rFonts w:ascii="Times New Roman" w:hAnsi="Times New Roman"/>
          <w:iCs/>
          <w:noProof/>
          <w:lang w:val="it-IT"/>
        </w:rPr>
        <w:t>Convenzione stipulata nel 1992 per una durata di 90 anni</w:t>
      </w:r>
    </w:p>
    <w:p w:rsidR="00AA1631" w:rsidRPr="00815E0E" w:rsidRDefault="00AA1631" w:rsidP="00AA1631">
      <w:pPr>
        <w:pStyle w:val="Paragrafoelenco"/>
        <w:spacing w:before="40" w:after="0" w:line="264" w:lineRule="auto"/>
        <w:ind w:left="0" w:right="136"/>
        <w:contextualSpacing w:val="0"/>
        <w:jc w:val="both"/>
        <w:rPr>
          <w:rFonts w:ascii="Times New Roman" w:hAnsi="Times New Roman"/>
          <w:iCs/>
          <w:noProof/>
          <w:lang w:val="it-IT"/>
        </w:rPr>
      </w:pPr>
      <w:r w:rsidRPr="00815E0E">
        <w:rPr>
          <w:rFonts w:ascii="Times New Roman" w:hAnsi="Times New Roman"/>
          <w:iCs/>
          <w:noProof/>
          <w:lang w:val="it-IT"/>
        </w:rPr>
        <w:t>Anno richiesta riscatto nel 2021</w:t>
      </w:r>
    </w:p>
    <w:bookmarkStart w:id="2" w:name="_MON_1697230230"/>
    <w:bookmarkEnd w:id="2"/>
    <w:p w:rsidR="00AA1631" w:rsidRPr="00815E0E" w:rsidRDefault="00AA1631" w:rsidP="00AA1631">
      <w:pPr>
        <w:spacing w:before="120" w:after="0" w:line="240" w:lineRule="auto"/>
        <w:ind w:right="-29"/>
        <w:jc w:val="center"/>
        <w:rPr>
          <w:rFonts w:ascii="Times New Roman" w:hAnsi="Times New Roman"/>
          <w:b/>
          <w:u w:val="single"/>
          <w:shd w:val="clear" w:color="auto" w:fill="FFFFFE"/>
          <w:lang w:bidi="he-IL"/>
        </w:rPr>
      </w:pPr>
      <w:r w:rsidRPr="00815E0E">
        <w:rPr>
          <w:rFonts w:ascii="Times New Roman" w:hAnsi="Times New Roman"/>
        </w:rPr>
        <w:object w:dxaOrig="9476" w:dyaOrig="3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4pt;height:147pt" o:ole="">
            <v:imagedata r:id="rId7" o:title=""/>
          </v:shape>
          <o:OLEObject Type="Embed" ProgID="Excel.Sheet.12" ShapeID="_x0000_i1025" DrawAspect="Content" ObjectID="_1698139485" r:id="rId8"/>
        </w:object>
      </w:r>
    </w:p>
    <w:p w:rsidR="00AA1631" w:rsidRPr="00815E0E" w:rsidRDefault="00AA1631" w:rsidP="00AA1631">
      <w:pPr>
        <w:spacing w:before="360" w:after="0" w:line="240" w:lineRule="auto"/>
        <w:ind w:right="-28"/>
        <w:rPr>
          <w:rFonts w:ascii="Times New Roman" w:hAnsi="Times New Roman"/>
          <w:b/>
          <w:u w:val="single"/>
          <w:shd w:val="clear" w:color="auto" w:fill="FFFFFE"/>
          <w:lang w:bidi="he-IL"/>
        </w:rPr>
      </w:pPr>
      <w:r w:rsidRPr="00815E0E">
        <w:rPr>
          <w:rFonts w:ascii="Times New Roman" w:hAnsi="Times New Roman"/>
          <w:b/>
          <w:u w:val="single"/>
          <w:shd w:val="clear" w:color="auto" w:fill="FFFFFE"/>
          <w:lang w:bidi="he-IL"/>
        </w:rPr>
        <w:t>ESEMPIO 2</w:t>
      </w:r>
    </w:p>
    <w:p w:rsidR="00AA1631" w:rsidRPr="00815E0E" w:rsidRDefault="00AA1631" w:rsidP="00AA1631">
      <w:pPr>
        <w:pStyle w:val="Paragrafoelenco"/>
        <w:spacing w:before="40" w:after="0" w:line="264" w:lineRule="auto"/>
        <w:ind w:left="0" w:right="136"/>
        <w:contextualSpacing w:val="0"/>
        <w:jc w:val="both"/>
        <w:rPr>
          <w:rFonts w:ascii="Times New Roman" w:hAnsi="Times New Roman"/>
          <w:iCs/>
          <w:noProof/>
          <w:lang w:val="it-IT"/>
        </w:rPr>
      </w:pPr>
      <w:r w:rsidRPr="00815E0E">
        <w:rPr>
          <w:rFonts w:ascii="Times New Roman" w:hAnsi="Times New Roman"/>
          <w:iCs/>
          <w:noProof/>
          <w:lang w:val="it-IT"/>
        </w:rPr>
        <w:t>Convenzione stipulata nel 1992 per una durata di 90 anni</w:t>
      </w:r>
    </w:p>
    <w:p w:rsidR="00AA1631" w:rsidRPr="00815E0E" w:rsidRDefault="00AA1631" w:rsidP="00AA1631">
      <w:pPr>
        <w:pStyle w:val="Paragrafoelenco"/>
        <w:spacing w:before="40" w:after="0" w:line="264" w:lineRule="auto"/>
        <w:ind w:left="0" w:right="136"/>
        <w:contextualSpacing w:val="0"/>
        <w:jc w:val="both"/>
        <w:rPr>
          <w:rFonts w:ascii="Times New Roman" w:hAnsi="Times New Roman"/>
          <w:iCs/>
          <w:noProof/>
          <w:lang w:val="it-IT"/>
        </w:rPr>
      </w:pPr>
      <w:r w:rsidRPr="00815E0E">
        <w:rPr>
          <w:rFonts w:ascii="Times New Roman" w:hAnsi="Times New Roman"/>
          <w:iCs/>
          <w:noProof/>
          <w:lang w:val="it-IT"/>
        </w:rPr>
        <w:t>Anno richiesta riscatto nel 2021</w:t>
      </w:r>
    </w:p>
    <w:bookmarkStart w:id="3" w:name="_MON_1697230688"/>
    <w:bookmarkEnd w:id="3"/>
    <w:p w:rsidR="00AA1631" w:rsidRPr="00815E0E" w:rsidRDefault="00AA1631" w:rsidP="00AA1631">
      <w:pPr>
        <w:spacing w:before="120" w:after="0" w:line="240" w:lineRule="auto"/>
        <w:ind w:right="-29"/>
        <w:jc w:val="center"/>
        <w:rPr>
          <w:rFonts w:ascii="Times New Roman" w:hAnsi="Times New Roman"/>
          <w:b/>
          <w:u w:val="single"/>
          <w:shd w:val="clear" w:color="auto" w:fill="FFFFFE"/>
          <w:lang w:bidi="he-IL"/>
        </w:rPr>
      </w:pPr>
      <w:r w:rsidRPr="00815E0E">
        <w:rPr>
          <w:rFonts w:ascii="Times New Roman" w:hAnsi="Times New Roman"/>
        </w:rPr>
        <w:object w:dxaOrig="9476" w:dyaOrig="4222">
          <v:shape id="_x0000_i1026" type="#_x0000_t75" style="width:380.4pt;height:169.8pt" o:ole="">
            <v:imagedata r:id="rId9" o:title=""/>
          </v:shape>
          <o:OLEObject Type="Embed" ProgID="Excel.Sheet.12" ShapeID="_x0000_i1026" DrawAspect="Content" ObjectID="_1698139486" r:id="rId10"/>
        </w:object>
      </w:r>
    </w:p>
    <w:p w:rsidR="00AA1631" w:rsidRPr="00815E0E" w:rsidRDefault="00AA1631" w:rsidP="00AA1631">
      <w:pPr>
        <w:pStyle w:val="Stile"/>
        <w:numPr>
          <w:ilvl w:val="0"/>
          <w:numId w:val="6"/>
        </w:numPr>
        <w:shd w:val="clear" w:color="auto" w:fill="FFFFFE"/>
        <w:spacing w:before="240" w:line="264" w:lineRule="auto"/>
        <w:ind w:left="363" w:right="51" w:hanging="357"/>
        <w:jc w:val="both"/>
        <w:rPr>
          <w:b/>
          <w:sz w:val="22"/>
          <w:szCs w:val="22"/>
          <w:u w:val="single"/>
          <w:shd w:val="clear" w:color="auto" w:fill="FFFFFE"/>
          <w:lang w:bidi="he-IL"/>
        </w:rPr>
      </w:pPr>
      <w:r w:rsidRPr="00815E0E">
        <w:rPr>
          <w:b/>
          <w:sz w:val="22"/>
          <w:szCs w:val="22"/>
          <w:u w:val="single"/>
          <w:shd w:val="clear" w:color="auto" w:fill="FFFFFE"/>
          <w:lang w:bidi="he-IL"/>
        </w:rPr>
        <w:t>Stima del corrispettivo per l’eliminazione vincoli convenzionali relativi alla determinazione del prezzo massimo di cessione e del canone massimo di locazione.</w:t>
      </w:r>
    </w:p>
    <w:p w:rsidR="00AA1631" w:rsidRPr="00815E0E" w:rsidRDefault="00AA1631" w:rsidP="00AA1631">
      <w:pPr>
        <w:autoSpaceDE w:val="0"/>
        <w:autoSpaceDN w:val="0"/>
        <w:adjustRightInd w:val="0"/>
        <w:spacing w:before="120" w:after="0" w:line="264" w:lineRule="auto"/>
        <w:ind w:left="357"/>
        <w:jc w:val="both"/>
        <w:rPr>
          <w:rFonts w:ascii="Times New Roman" w:hAnsi="Times New Roman"/>
        </w:rPr>
      </w:pPr>
      <w:r w:rsidRPr="00815E0E">
        <w:rPr>
          <w:rFonts w:ascii="Times New Roman" w:hAnsi="Times New Roman"/>
        </w:rPr>
        <w:t>Il corrispettivo per la rimozione dei vincoli di prezzo massimo di cessione nonché di canone massimo di locazione per le convenzioni avente ad oggetto la cessione del diritto di superficie relative alla viene determinato secondo quanto stabilito dal comma 3, dell’art. 1 del Decreto del Ministero dell’Economia e delle Finanze 28 settembre 2020, n. 151 “Regolamento recante rimozione dai vincoli di prezzo gravanti sugli immobili costruiti in regime di edilizia convenzionata” secondo la seguente formula:</w:t>
      </w:r>
    </w:p>
    <w:p w:rsidR="00AA1631" w:rsidRPr="00815E0E" w:rsidRDefault="00AA1631" w:rsidP="00AA1631">
      <w:pPr>
        <w:spacing w:before="120" w:after="120" w:line="264" w:lineRule="auto"/>
        <w:ind w:right="113"/>
        <w:jc w:val="center"/>
        <w:rPr>
          <w:rFonts w:ascii="Times New Roman" w:hAnsi="Times New Roman"/>
          <w:b/>
          <w:iCs/>
          <w:noProof/>
        </w:rPr>
      </w:pPr>
      <w:r w:rsidRPr="00815E0E">
        <w:rPr>
          <w:rFonts w:ascii="Times New Roman" w:hAnsi="Times New Roman"/>
          <w:b/>
          <w:iCs/>
          <w:noProof/>
        </w:rPr>
        <w:t>CRV</w:t>
      </w:r>
      <w:r w:rsidRPr="00815E0E">
        <w:rPr>
          <w:rFonts w:ascii="Times New Roman" w:hAnsi="Times New Roman"/>
          <w:b/>
          <w:iCs/>
          <w:noProof/>
          <w:vertAlign w:val="subscript"/>
        </w:rPr>
        <w:t>s</w:t>
      </w:r>
      <w:r w:rsidRPr="00815E0E">
        <w:rPr>
          <w:rFonts w:ascii="Times New Roman" w:hAnsi="Times New Roman"/>
          <w:b/>
          <w:iCs/>
          <w:noProof/>
        </w:rPr>
        <w:t xml:space="preserve"> = 0,50 * CRV</w:t>
      </w:r>
    </w:p>
    <w:p w:rsidR="00AA1631" w:rsidRPr="00815E0E" w:rsidRDefault="00AA1631" w:rsidP="00AA1631">
      <w:pPr>
        <w:autoSpaceDE w:val="0"/>
        <w:autoSpaceDN w:val="0"/>
        <w:adjustRightInd w:val="0"/>
        <w:spacing w:before="120" w:after="120" w:line="264" w:lineRule="auto"/>
        <w:ind w:left="955" w:hanging="567"/>
        <w:jc w:val="both"/>
        <w:rPr>
          <w:rFonts w:ascii="Times New Roman" w:hAnsi="Times New Roman"/>
          <w:bCs/>
          <w:iCs/>
          <w:noProof/>
        </w:rPr>
      </w:pPr>
      <w:r w:rsidRPr="00815E0E">
        <w:rPr>
          <w:rFonts w:ascii="Times New Roman" w:hAnsi="Times New Roman"/>
          <w:b/>
          <w:iCs/>
          <w:noProof/>
        </w:rPr>
        <w:t>CRV</w:t>
      </w:r>
      <w:r w:rsidRPr="00815E0E">
        <w:rPr>
          <w:rFonts w:ascii="Times New Roman" w:hAnsi="Times New Roman"/>
          <w:b/>
          <w:iCs/>
          <w:noProof/>
          <w:vertAlign w:val="subscript"/>
        </w:rPr>
        <w:t>s</w:t>
      </w:r>
      <w:r w:rsidRPr="00815E0E">
        <w:rPr>
          <w:rFonts w:ascii="Times New Roman" w:hAnsi="Times New Roman"/>
          <w:b/>
          <w:iCs/>
          <w:noProof/>
        </w:rPr>
        <w:t xml:space="preserve"> </w:t>
      </w:r>
      <w:r w:rsidRPr="00815E0E">
        <w:rPr>
          <w:rFonts w:ascii="Times New Roman" w:hAnsi="Times New Roman"/>
          <w:bCs/>
          <w:iCs/>
          <w:noProof/>
        </w:rPr>
        <w:t>= Corrispettivo rimozione vincoli convenzioni cessione diritto di superficie</w:t>
      </w:r>
    </w:p>
    <w:p w:rsidR="00AA1631" w:rsidRPr="00815E0E" w:rsidRDefault="00AA1631" w:rsidP="00AA1631">
      <w:pPr>
        <w:pStyle w:val="Paragrafoelenco"/>
        <w:spacing w:before="120" w:after="0" w:line="264" w:lineRule="auto"/>
        <w:ind w:left="388"/>
        <w:contextualSpacing w:val="0"/>
        <w:jc w:val="both"/>
        <w:rPr>
          <w:rFonts w:ascii="Times New Roman" w:hAnsi="Times New Roman"/>
          <w:lang w:val="it-IT" w:eastAsia="it-IT"/>
        </w:rPr>
      </w:pPr>
      <w:r w:rsidRPr="00815E0E">
        <w:rPr>
          <w:rFonts w:ascii="Times New Roman" w:hAnsi="Times New Roman"/>
          <w:lang w:val="it-IT" w:eastAsia="it-IT"/>
        </w:rPr>
        <w:lastRenderedPageBreak/>
        <w:t>Dove:</w:t>
      </w:r>
    </w:p>
    <w:p w:rsidR="00AA1631" w:rsidRPr="00815E0E" w:rsidRDefault="00AA1631" w:rsidP="00AA1631">
      <w:pPr>
        <w:autoSpaceDE w:val="0"/>
        <w:autoSpaceDN w:val="0"/>
        <w:adjustRightInd w:val="0"/>
        <w:spacing w:before="120" w:after="120" w:line="264" w:lineRule="auto"/>
        <w:ind w:left="1238" w:hanging="850"/>
        <w:jc w:val="both"/>
        <w:rPr>
          <w:rFonts w:ascii="Times New Roman" w:hAnsi="Times New Roman"/>
          <w:bCs/>
          <w:iCs/>
          <w:noProof/>
        </w:rPr>
      </w:pPr>
      <w:r w:rsidRPr="00815E0E">
        <w:rPr>
          <w:rFonts w:ascii="Times New Roman" w:hAnsi="Times New Roman"/>
          <w:b/>
          <w:iCs/>
          <w:noProof/>
        </w:rPr>
        <w:t xml:space="preserve">CRV </w:t>
      </w:r>
      <w:r w:rsidRPr="00815E0E">
        <w:rPr>
          <w:rFonts w:ascii="Times New Roman" w:hAnsi="Times New Roman"/>
          <w:bCs/>
          <w:iCs/>
          <w:noProof/>
        </w:rPr>
        <w:t>= Corrispettivo rimozione vincoli del prezzo massimo di cessione e del canone massimo stabilito dal comma 2 del citato DM 151/2020 determinato secondo il seguente algoritmo:</w:t>
      </w:r>
    </w:p>
    <w:p w:rsidR="00AA1631" w:rsidRPr="00815E0E" w:rsidRDefault="00AA1631" w:rsidP="00AA1631">
      <w:pPr>
        <w:autoSpaceDE w:val="0"/>
        <w:autoSpaceDN w:val="0"/>
        <w:adjustRightInd w:val="0"/>
        <w:spacing w:before="120" w:after="120" w:line="264" w:lineRule="auto"/>
        <w:jc w:val="center"/>
        <w:rPr>
          <w:rFonts w:ascii="Times New Roman" w:hAnsi="Times New Roman"/>
          <w:b/>
          <w:bCs/>
          <w:i/>
          <w:iCs/>
          <w:color w:val="121212"/>
          <w:lang w:val="en-AU"/>
        </w:rPr>
      </w:pPr>
      <w:r w:rsidRPr="00815E0E">
        <w:rPr>
          <w:rFonts w:ascii="Times New Roman" w:hAnsi="Times New Roman"/>
          <w:b/>
          <w:bCs/>
          <w:i/>
          <w:iCs/>
          <w:color w:val="121212"/>
          <w:lang w:val="en-AU"/>
        </w:rPr>
        <w:t xml:space="preserve">CRV = </w:t>
      </w:r>
      <w:r w:rsidRPr="00815E0E">
        <w:rPr>
          <w:rFonts w:ascii="Times New Roman" w:hAnsi="Times New Roman"/>
          <w:b/>
          <w:bCs/>
          <w:i/>
          <w:iCs/>
          <w:lang w:val="en-AU"/>
        </w:rPr>
        <w:t>Cc.</w:t>
      </w:r>
      <w:r w:rsidRPr="00815E0E">
        <w:rPr>
          <w:rFonts w:ascii="Times New Roman" w:hAnsi="Times New Roman"/>
          <w:b/>
          <w:bCs/>
          <w:i/>
          <w:iCs/>
          <w:vertAlign w:val="subscript"/>
          <w:lang w:val="en-AU"/>
        </w:rPr>
        <w:t>48</w:t>
      </w:r>
      <w:r w:rsidRPr="00815E0E">
        <w:rPr>
          <w:rFonts w:ascii="Times New Roman" w:hAnsi="Times New Roman"/>
          <w:b/>
          <w:bCs/>
          <w:i/>
          <w:iCs/>
          <w:lang w:val="en-AU"/>
        </w:rPr>
        <w:t>*QM*</w:t>
      </w:r>
      <w:r w:rsidRPr="00815E0E">
        <w:rPr>
          <w:rFonts w:ascii="Times New Roman" w:hAnsi="Times New Roman"/>
          <w:b/>
          <w:bCs/>
          <w:i/>
          <w:iCs/>
          <w:color w:val="121212"/>
          <w:lang w:val="en-AU"/>
        </w:rPr>
        <w:t xml:space="preserve"> 0</w:t>
      </w:r>
      <w:proofErr w:type="gramStart"/>
      <w:r w:rsidRPr="00815E0E">
        <w:rPr>
          <w:rFonts w:ascii="Times New Roman" w:hAnsi="Times New Roman"/>
          <w:b/>
          <w:bCs/>
          <w:i/>
          <w:iCs/>
          <w:color w:val="121212"/>
          <w:lang w:val="en-AU"/>
        </w:rPr>
        <w:t>,50</w:t>
      </w:r>
      <w:proofErr w:type="gramEnd"/>
      <w:r w:rsidRPr="00815E0E">
        <w:rPr>
          <w:rFonts w:ascii="Times New Roman" w:hAnsi="Times New Roman"/>
          <w:b/>
          <w:bCs/>
          <w:i/>
          <w:iCs/>
          <w:color w:val="121212"/>
          <w:lang w:val="en-AU"/>
        </w:rPr>
        <w:t>*(ADC - ATC)/ADC</w:t>
      </w:r>
    </w:p>
    <w:p w:rsidR="00AA1631" w:rsidRPr="00815E0E" w:rsidRDefault="00AA1631" w:rsidP="00AA1631">
      <w:pPr>
        <w:autoSpaceDE w:val="0"/>
        <w:autoSpaceDN w:val="0"/>
        <w:adjustRightInd w:val="0"/>
        <w:spacing w:before="120" w:after="120" w:line="264" w:lineRule="auto"/>
        <w:ind w:left="1238" w:hanging="850"/>
        <w:jc w:val="both"/>
        <w:rPr>
          <w:rFonts w:ascii="Times New Roman" w:hAnsi="Times New Roman"/>
          <w:bCs/>
          <w:iCs/>
          <w:noProof/>
        </w:rPr>
      </w:pPr>
      <w:r w:rsidRPr="00815E0E">
        <w:rPr>
          <w:rFonts w:ascii="Times New Roman" w:hAnsi="Times New Roman"/>
          <w:b/>
          <w:bCs/>
        </w:rPr>
        <w:t>Cc.</w:t>
      </w:r>
      <w:r w:rsidRPr="00815E0E">
        <w:rPr>
          <w:rFonts w:ascii="Times New Roman" w:hAnsi="Times New Roman"/>
          <w:b/>
          <w:bCs/>
          <w:vertAlign w:val="subscript"/>
        </w:rPr>
        <w:t>48</w:t>
      </w:r>
      <w:r w:rsidRPr="00815E0E">
        <w:rPr>
          <w:rFonts w:ascii="Times New Roman" w:hAnsi="Times New Roman"/>
          <w:b/>
          <w:iCs/>
          <w:noProof/>
        </w:rPr>
        <w:t xml:space="preserve"> </w:t>
      </w:r>
      <w:r w:rsidRPr="00815E0E">
        <w:rPr>
          <w:rFonts w:ascii="Times New Roman" w:hAnsi="Times New Roman"/>
          <w:bCs/>
          <w:iCs/>
          <w:noProof/>
        </w:rPr>
        <w:t>= Corrispettivo risultante dall'applicazione del comma 48</w:t>
      </w:r>
    </w:p>
    <w:p w:rsidR="00AA1631" w:rsidRPr="00815E0E" w:rsidRDefault="00AA1631" w:rsidP="00AA1631">
      <w:pPr>
        <w:autoSpaceDE w:val="0"/>
        <w:autoSpaceDN w:val="0"/>
        <w:adjustRightInd w:val="0"/>
        <w:spacing w:before="120" w:after="120" w:line="264" w:lineRule="auto"/>
        <w:ind w:left="1238" w:hanging="850"/>
        <w:jc w:val="both"/>
        <w:rPr>
          <w:rFonts w:ascii="Times New Roman" w:hAnsi="Times New Roman"/>
          <w:bCs/>
          <w:noProof/>
        </w:rPr>
      </w:pPr>
      <w:r w:rsidRPr="00815E0E">
        <w:rPr>
          <w:rFonts w:ascii="Times New Roman" w:hAnsi="Times New Roman"/>
          <w:b/>
          <w:bCs/>
        </w:rPr>
        <w:t>QM</w:t>
      </w:r>
      <w:r w:rsidRPr="00815E0E">
        <w:rPr>
          <w:rFonts w:ascii="Times New Roman" w:hAnsi="Times New Roman"/>
          <w:bCs/>
          <w:noProof/>
        </w:rPr>
        <w:t xml:space="preserve"> = quota millesimale</w:t>
      </w:r>
    </w:p>
    <w:p w:rsidR="00AA1631" w:rsidRPr="00815E0E" w:rsidRDefault="00AA1631" w:rsidP="00AA1631">
      <w:pPr>
        <w:autoSpaceDE w:val="0"/>
        <w:autoSpaceDN w:val="0"/>
        <w:adjustRightInd w:val="0"/>
        <w:spacing w:before="120" w:after="120" w:line="264" w:lineRule="auto"/>
        <w:ind w:left="1238" w:hanging="850"/>
        <w:jc w:val="both"/>
        <w:rPr>
          <w:rFonts w:ascii="Times New Roman" w:hAnsi="Times New Roman"/>
          <w:b/>
          <w:noProof/>
        </w:rPr>
      </w:pPr>
      <w:r w:rsidRPr="00815E0E">
        <w:rPr>
          <w:rFonts w:ascii="Times New Roman" w:hAnsi="Times New Roman"/>
          <w:b/>
          <w:bCs/>
          <w:color w:val="121212"/>
        </w:rPr>
        <w:t xml:space="preserve">0,50 </w:t>
      </w:r>
      <w:r w:rsidRPr="00815E0E">
        <w:rPr>
          <w:rFonts w:ascii="Times New Roman" w:hAnsi="Times New Roman"/>
          <w:bCs/>
          <w:noProof/>
        </w:rPr>
        <w:t xml:space="preserve">= aliquota del 50% prevista dal DM </w:t>
      </w:r>
    </w:p>
    <w:p w:rsidR="00AA1631" w:rsidRPr="00815E0E" w:rsidRDefault="00AA1631" w:rsidP="00AA1631">
      <w:pPr>
        <w:autoSpaceDE w:val="0"/>
        <w:autoSpaceDN w:val="0"/>
        <w:adjustRightInd w:val="0"/>
        <w:spacing w:before="120" w:after="120" w:line="264" w:lineRule="auto"/>
        <w:ind w:left="1238" w:hanging="850"/>
        <w:jc w:val="both"/>
        <w:rPr>
          <w:rFonts w:ascii="Times New Roman" w:hAnsi="Times New Roman"/>
          <w:b/>
          <w:iCs/>
          <w:noProof/>
        </w:rPr>
      </w:pPr>
      <w:r w:rsidRPr="00815E0E">
        <w:rPr>
          <w:rFonts w:ascii="Times New Roman" w:hAnsi="Times New Roman"/>
          <w:b/>
          <w:iCs/>
          <w:noProof/>
        </w:rPr>
        <w:t xml:space="preserve">ADC </w:t>
      </w:r>
      <w:r w:rsidRPr="00815E0E">
        <w:rPr>
          <w:rFonts w:ascii="Times New Roman" w:hAnsi="Times New Roman"/>
          <w:bCs/>
          <w:iCs/>
          <w:noProof/>
        </w:rPr>
        <w:t>= Numero degli anni di durata della convenzione</w:t>
      </w:r>
    </w:p>
    <w:p w:rsidR="00AA1631" w:rsidRPr="00815E0E" w:rsidRDefault="00AA1631" w:rsidP="00AA1631">
      <w:pPr>
        <w:autoSpaceDE w:val="0"/>
        <w:autoSpaceDN w:val="0"/>
        <w:adjustRightInd w:val="0"/>
        <w:spacing w:before="120" w:after="120" w:line="264" w:lineRule="auto"/>
        <w:ind w:left="1238" w:hanging="850"/>
        <w:jc w:val="both"/>
        <w:rPr>
          <w:rFonts w:ascii="Times New Roman" w:hAnsi="Times New Roman"/>
          <w:bCs/>
          <w:iCs/>
          <w:noProof/>
        </w:rPr>
      </w:pPr>
      <w:r w:rsidRPr="00815E0E">
        <w:rPr>
          <w:rFonts w:ascii="Times New Roman" w:hAnsi="Times New Roman"/>
          <w:b/>
          <w:iCs/>
          <w:noProof/>
        </w:rPr>
        <w:t xml:space="preserve">ATC </w:t>
      </w:r>
      <w:r w:rsidRPr="00815E0E">
        <w:rPr>
          <w:rFonts w:ascii="Times New Roman" w:hAnsi="Times New Roman"/>
          <w:bCs/>
          <w:iCs/>
          <w:noProof/>
        </w:rPr>
        <w:t>= Numero di anni, o frazione di essi, trascorsi dalla data di stipula della convenzione, fino alla durata massima della convenzione.</w:t>
      </w:r>
    </w:p>
    <w:p w:rsidR="00AA1631" w:rsidRPr="00815E0E" w:rsidRDefault="00AA1631" w:rsidP="00AA1631">
      <w:pPr>
        <w:pStyle w:val="Paragrafoelenco"/>
        <w:spacing w:before="120" w:after="0" w:line="264" w:lineRule="auto"/>
        <w:ind w:left="0" w:right="136"/>
        <w:contextualSpacing w:val="0"/>
        <w:jc w:val="both"/>
        <w:rPr>
          <w:rFonts w:ascii="Times New Roman" w:hAnsi="Times New Roman"/>
          <w:b/>
          <w:bCs/>
          <w:i/>
          <w:noProof/>
          <w:lang w:val="it-IT"/>
        </w:rPr>
      </w:pPr>
      <w:r w:rsidRPr="00815E0E">
        <w:rPr>
          <w:rFonts w:ascii="Times New Roman" w:hAnsi="Times New Roman"/>
          <w:b/>
          <w:bCs/>
          <w:i/>
          <w:noProof/>
          <w:lang w:val="it-IT"/>
        </w:rPr>
        <w:t>In ogni caso il corrispettivo non può superare il limite massimo di euro 5.000 per singola unità abitativa e relative pertinenze avente superficie residenziale catastale fino a 125 metri quadrati e di euro 10.000 per singola unità abitativa e relative pertinenze avente superficie residenziale catastale maggiore di 125 metri quadrati.</w:t>
      </w:r>
    </w:p>
    <w:p w:rsidR="00AA1631" w:rsidRPr="00815E0E" w:rsidRDefault="00AA1631" w:rsidP="00AA1631">
      <w:pPr>
        <w:spacing w:before="240" w:after="0" w:line="240" w:lineRule="auto"/>
        <w:ind w:right="-28"/>
        <w:rPr>
          <w:rFonts w:ascii="Times New Roman" w:hAnsi="Times New Roman"/>
          <w:b/>
          <w:u w:val="single"/>
          <w:shd w:val="clear" w:color="auto" w:fill="FFFFFE"/>
          <w:lang w:bidi="he-IL"/>
        </w:rPr>
      </w:pPr>
      <w:r w:rsidRPr="00815E0E">
        <w:rPr>
          <w:rFonts w:ascii="Times New Roman" w:hAnsi="Times New Roman"/>
          <w:b/>
          <w:u w:val="single"/>
          <w:shd w:val="clear" w:color="auto" w:fill="FFFFFE"/>
          <w:lang w:bidi="he-IL"/>
        </w:rPr>
        <w:t>ESEMPIO 1</w:t>
      </w:r>
    </w:p>
    <w:p w:rsidR="00AA1631" w:rsidRPr="00815E0E" w:rsidRDefault="00AA1631" w:rsidP="00AA1631">
      <w:pPr>
        <w:pStyle w:val="Paragrafoelenco"/>
        <w:spacing w:before="40" w:after="0" w:line="264" w:lineRule="auto"/>
        <w:ind w:left="0" w:right="136"/>
        <w:contextualSpacing w:val="0"/>
        <w:jc w:val="both"/>
        <w:rPr>
          <w:rFonts w:ascii="Times New Roman" w:hAnsi="Times New Roman"/>
          <w:iCs/>
          <w:noProof/>
          <w:lang w:val="it-IT"/>
        </w:rPr>
      </w:pPr>
      <w:r w:rsidRPr="00815E0E">
        <w:rPr>
          <w:rFonts w:ascii="Times New Roman" w:hAnsi="Times New Roman"/>
          <w:iCs/>
          <w:noProof/>
          <w:lang w:val="it-IT"/>
        </w:rPr>
        <w:t>Convenzione stipulata nel 1992 per una durata di 90 anni</w:t>
      </w:r>
    </w:p>
    <w:p w:rsidR="00AA1631" w:rsidRPr="00815E0E" w:rsidRDefault="00AA1631" w:rsidP="00AA1631">
      <w:pPr>
        <w:pStyle w:val="Paragrafoelenco"/>
        <w:spacing w:before="40" w:after="0" w:line="264" w:lineRule="auto"/>
        <w:ind w:left="0" w:right="136"/>
        <w:contextualSpacing w:val="0"/>
        <w:jc w:val="both"/>
        <w:rPr>
          <w:rFonts w:ascii="Times New Roman" w:hAnsi="Times New Roman"/>
          <w:iCs/>
          <w:noProof/>
          <w:lang w:val="it-IT"/>
        </w:rPr>
      </w:pPr>
      <w:r w:rsidRPr="00815E0E">
        <w:rPr>
          <w:rFonts w:ascii="Times New Roman" w:hAnsi="Times New Roman"/>
          <w:iCs/>
          <w:noProof/>
          <w:lang w:val="it-IT"/>
        </w:rPr>
        <w:t>Anno richiesta riscatto nel 2021</w:t>
      </w:r>
    </w:p>
    <w:bookmarkStart w:id="4" w:name="_MON_1697231691"/>
    <w:bookmarkEnd w:id="4"/>
    <w:p w:rsidR="00AA1631" w:rsidRPr="00815E0E" w:rsidRDefault="00AA1631" w:rsidP="00AA1631">
      <w:pPr>
        <w:autoSpaceDE w:val="0"/>
        <w:autoSpaceDN w:val="0"/>
        <w:adjustRightInd w:val="0"/>
        <w:spacing w:before="120" w:after="0" w:line="264" w:lineRule="auto"/>
        <w:jc w:val="center"/>
        <w:rPr>
          <w:rFonts w:ascii="Times New Roman" w:hAnsi="Times New Roman"/>
          <w:sz w:val="20"/>
          <w:szCs w:val="20"/>
        </w:rPr>
      </w:pPr>
      <w:r w:rsidRPr="00815E0E">
        <w:rPr>
          <w:rFonts w:ascii="Times New Roman" w:hAnsi="Times New Roman"/>
        </w:rPr>
        <w:object w:dxaOrig="9885" w:dyaOrig="3630">
          <v:shape id="_x0000_i1027" type="#_x0000_t75" style="width:417.6pt;height:145.8pt" o:ole="">
            <v:imagedata r:id="rId11" o:title=""/>
          </v:shape>
          <o:OLEObject Type="Embed" ProgID="Excel.Sheet.12" ShapeID="_x0000_i1027" DrawAspect="Content" ObjectID="_1698139487" r:id="rId12"/>
        </w:object>
      </w:r>
    </w:p>
    <w:p w:rsidR="00AA1631" w:rsidRPr="00815E0E" w:rsidRDefault="00AA1631" w:rsidP="00AA1631">
      <w:pPr>
        <w:spacing w:before="240" w:after="0" w:line="240" w:lineRule="auto"/>
        <w:ind w:right="-28"/>
        <w:rPr>
          <w:rFonts w:ascii="Times New Roman" w:hAnsi="Times New Roman"/>
          <w:b/>
          <w:u w:val="single"/>
          <w:shd w:val="clear" w:color="auto" w:fill="FFFFFE"/>
          <w:lang w:bidi="he-IL"/>
        </w:rPr>
      </w:pPr>
      <w:r w:rsidRPr="00815E0E">
        <w:rPr>
          <w:rFonts w:ascii="Times New Roman" w:hAnsi="Times New Roman"/>
          <w:b/>
          <w:u w:val="single"/>
          <w:shd w:val="clear" w:color="auto" w:fill="FFFFFE"/>
          <w:lang w:bidi="he-IL"/>
        </w:rPr>
        <w:t>ESEMPIO 2</w:t>
      </w:r>
    </w:p>
    <w:p w:rsidR="00AA1631" w:rsidRPr="00815E0E" w:rsidRDefault="00AA1631" w:rsidP="00AA1631">
      <w:pPr>
        <w:pStyle w:val="Paragrafoelenco"/>
        <w:spacing w:before="40" w:after="0" w:line="264" w:lineRule="auto"/>
        <w:ind w:left="0" w:right="136"/>
        <w:contextualSpacing w:val="0"/>
        <w:jc w:val="both"/>
        <w:rPr>
          <w:rFonts w:ascii="Times New Roman" w:hAnsi="Times New Roman"/>
          <w:iCs/>
          <w:noProof/>
          <w:lang w:val="it-IT"/>
        </w:rPr>
      </w:pPr>
      <w:r w:rsidRPr="00815E0E">
        <w:rPr>
          <w:rFonts w:ascii="Times New Roman" w:hAnsi="Times New Roman"/>
          <w:iCs/>
          <w:noProof/>
          <w:lang w:val="it-IT"/>
        </w:rPr>
        <w:t>Convenzione stipulata nel 1992 per una durata di 90 anni</w:t>
      </w:r>
    </w:p>
    <w:p w:rsidR="00AA1631" w:rsidRPr="00815E0E" w:rsidRDefault="00AA1631" w:rsidP="00AA1631">
      <w:pPr>
        <w:pStyle w:val="Paragrafoelenco"/>
        <w:spacing w:before="40" w:after="0" w:line="264" w:lineRule="auto"/>
        <w:ind w:left="0" w:right="136"/>
        <w:contextualSpacing w:val="0"/>
        <w:jc w:val="both"/>
        <w:rPr>
          <w:rFonts w:ascii="Times New Roman" w:hAnsi="Times New Roman"/>
          <w:iCs/>
          <w:noProof/>
          <w:lang w:val="it-IT"/>
        </w:rPr>
      </w:pPr>
      <w:r w:rsidRPr="00815E0E">
        <w:rPr>
          <w:rFonts w:ascii="Times New Roman" w:hAnsi="Times New Roman"/>
          <w:iCs/>
          <w:noProof/>
          <w:lang w:val="it-IT"/>
        </w:rPr>
        <w:t>Anno richiesta riscatto nel 2021</w:t>
      </w:r>
    </w:p>
    <w:bookmarkStart w:id="5" w:name="_MON_1697231824"/>
    <w:bookmarkEnd w:id="5"/>
    <w:p w:rsidR="00AA1631" w:rsidRPr="00815E0E" w:rsidRDefault="00AA1631" w:rsidP="00AA1631">
      <w:pPr>
        <w:autoSpaceDE w:val="0"/>
        <w:autoSpaceDN w:val="0"/>
        <w:adjustRightInd w:val="0"/>
        <w:spacing w:before="120" w:after="0" w:line="264" w:lineRule="auto"/>
        <w:jc w:val="center"/>
        <w:rPr>
          <w:rFonts w:ascii="Times New Roman" w:hAnsi="Times New Roman"/>
        </w:rPr>
      </w:pPr>
      <w:r w:rsidRPr="00815E0E">
        <w:rPr>
          <w:rFonts w:ascii="Times New Roman" w:hAnsi="Times New Roman"/>
        </w:rPr>
        <w:object w:dxaOrig="10005" w:dyaOrig="4485">
          <v:shape id="_x0000_i1028" type="#_x0000_t75" style="width:424.8pt;height:179.4pt" o:ole="">
            <v:imagedata r:id="rId13" o:title=""/>
          </v:shape>
          <o:OLEObject Type="Embed" ProgID="Excel.Sheet.12" ShapeID="_x0000_i1028" DrawAspect="Content" ObjectID="_1698139488" r:id="rId14"/>
        </w:object>
      </w:r>
    </w:p>
    <w:p w:rsidR="00AA1631" w:rsidRPr="00815E0E" w:rsidRDefault="00AA1631" w:rsidP="00AA1631">
      <w:pPr>
        <w:autoSpaceDE w:val="0"/>
        <w:autoSpaceDN w:val="0"/>
        <w:adjustRightInd w:val="0"/>
        <w:spacing w:before="120" w:after="0" w:line="264" w:lineRule="auto"/>
        <w:jc w:val="center"/>
        <w:rPr>
          <w:rFonts w:ascii="Times New Roman" w:hAnsi="Times New Roman"/>
        </w:rPr>
      </w:pPr>
    </w:p>
    <w:p w:rsidR="00CC6540" w:rsidRDefault="00CC6540"/>
    <w:sectPr w:rsidR="00CC6540">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E09" w:rsidRDefault="00D32E09" w:rsidP="00AA1631">
      <w:pPr>
        <w:spacing w:after="0" w:line="240" w:lineRule="auto"/>
      </w:pPr>
      <w:r>
        <w:separator/>
      </w:r>
    </w:p>
  </w:endnote>
  <w:endnote w:type="continuationSeparator" w:id="0">
    <w:p w:rsidR="00D32E09" w:rsidRDefault="00D32E09" w:rsidP="00AA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E09" w:rsidRDefault="00D32E09" w:rsidP="00AA1631">
      <w:pPr>
        <w:spacing w:after="0" w:line="240" w:lineRule="auto"/>
      </w:pPr>
      <w:r>
        <w:separator/>
      </w:r>
    </w:p>
  </w:footnote>
  <w:footnote w:type="continuationSeparator" w:id="0">
    <w:p w:rsidR="00D32E09" w:rsidRDefault="00D32E09" w:rsidP="00AA1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31" w:rsidRPr="00AA1631" w:rsidRDefault="00AA1631">
    <w:pPr>
      <w:pStyle w:val="Intestazione"/>
      <w:rPr>
        <w:rFonts w:ascii="Times New Roman" w:hAnsi="Times New Roman"/>
      </w:rPr>
    </w:pPr>
    <w:r w:rsidRPr="00AA1631">
      <w:rPr>
        <w:rFonts w:ascii="Times New Roman" w:hAnsi="Times New Roman"/>
      </w:rPr>
      <w:t>COMUNE DI</w:t>
    </w:r>
    <w:r>
      <w:rPr>
        <w:rFonts w:ascii="Times New Roman" w:hAnsi="Times New Roman"/>
      </w:rPr>
      <w:t xml:space="preserve"> _______________</w:t>
    </w:r>
  </w:p>
  <w:p w:rsidR="00AA1631" w:rsidRDefault="00AA163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C2A"/>
    <w:multiLevelType w:val="hybridMultilevel"/>
    <w:tmpl w:val="CE2061FC"/>
    <w:lvl w:ilvl="0" w:tplc="452E694C">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1B238F"/>
    <w:multiLevelType w:val="hybridMultilevel"/>
    <w:tmpl w:val="D464AC96"/>
    <w:lvl w:ilvl="0" w:tplc="C9960F44">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F70021"/>
    <w:multiLevelType w:val="hybridMultilevel"/>
    <w:tmpl w:val="B922EB1C"/>
    <w:lvl w:ilvl="0" w:tplc="961050F8">
      <w:start w:val="22"/>
      <w:numFmt w:val="bullet"/>
      <w:lvlText w:val="•"/>
      <w:lvlJc w:val="left"/>
      <w:pPr>
        <w:ind w:left="360" w:hanging="360"/>
      </w:pPr>
      <w:rPr>
        <w:rFonts w:ascii="Times New Roman" w:eastAsia="Times New Roman" w:hAnsi="Times New Roman" w:hint="default"/>
        <w:w w:val="131"/>
        <w:sz w:val="28"/>
      </w:rPr>
    </w:lvl>
    <w:lvl w:ilvl="1" w:tplc="961050F8">
      <w:start w:val="22"/>
      <w:numFmt w:val="bullet"/>
      <w:lvlText w:val="•"/>
      <w:lvlJc w:val="left"/>
      <w:pPr>
        <w:ind w:left="1080" w:hanging="360"/>
      </w:pPr>
      <w:rPr>
        <w:rFonts w:ascii="Times New Roman" w:eastAsia="Times New Roman" w:hAnsi="Times New Roman" w:hint="default"/>
        <w:w w:val="131"/>
        <w:sz w:val="28"/>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98527F7"/>
    <w:multiLevelType w:val="hybridMultilevel"/>
    <w:tmpl w:val="FBE424EA"/>
    <w:lvl w:ilvl="0" w:tplc="7FA08CE2">
      <w:start w:val="1"/>
      <w:numFmt w:val="lowerLetter"/>
      <w:lvlText w:val="%1)"/>
      <w:lvlJc w:val="left"/>
      <w:pPr>
        <w:ind w:left="720" w:hanging="360"/>
      </w:pPr>
      <w:rPr>
        <w:rFonts w:cs="Times New Roman" w:hint="default"/>
      </w:rPr>
    </w:lvl>
    <w:lvl w:ilvl="1" w:tplc="5576246E">
      <w:start w:val="1"/>
      <w:numFmt w:val="decimal"/>
      <w:lvlText w:val="%2)"/>
      <w:lvlJc w:val="left"/>
      <w:pPr>
        <w:ind w:left="1296" w:hanging="360"/>
      </w:pPr>
      <w:rPr>
        <w:rFonts w:hint="default"/>
      </w:rPr>
    </w:lvl>
    <w:lvl w:ilvl="2" w:tplc="89A29540">
      <w:start w:val="1"/>
      <w:numFmt w:val="decimal"/>
      <w:lvlText w:val="%3."/>
      <w:lvlJc w:val="left"/>
      <w:pPr>
        <w:ind w:left="2196" w:hanging="360"/>
      </w:pPr>
      <w:rPr>
        <w:rFonts w:hint="default"/>
      </w:rPr>
    </w:lvl>
    <w:lvl w:ilvl="3" w:tplc="0410000F" w:tentative="1">
      <w:start w:val="1"/>
      <w:numFmt w:val="decimal"/>
      <w:lvlText w:val="%4."/>
      <w:lvlJc w:val="left"/>
      <w:pPr>
        <w:ind w:left="2736" w:hanging="360"/>
      </w:pPr>
      <w:rPr>
        <w:rFonts w:cs="Times New Roman"/>
      </w:rPr>
    </w:lvl>
    <w:lvl w:ilvl="4" w:tplc="04100019" w:tentative="1">
      <w:start w:val="1"/>
      <w:numFmt w:val="lowerLetter"/>
      <w:lvlText w:val="%5."/>
      <w:lvlJc w:val="left"/>
      <w:pPr>
        <w:ind w:left="3456" w:hanging="360"/>
      </w:pPr>
      <w:rPr>
        <w:rFonts w:cs="Times New Roman"/>
      </w:rPr>
    </w:lvl>
    <w:lvl w:ilvl="5" w:tplc="0410001B" w:tentative="1">
      <w:start w:val="1"/>
      <w:numFmt w:val="lowerRoman"/>
      <w:lvlText w:val="%6."/>
      <w:lvlJc w:val="right"/>
      <w:pPr>
        <w:ind w:left="4176" w:hanging="180"/>
      </w:pPr>
      <w:rPr>
        <w:rFonts w:cs="Times New Roman"/>
      </w:rPr>
    </w:lvl>
    <w:lvl w:ilvl="6" w:tplc="0410000F" w:tentative="1">
      <w:start w:val="1"/>
      <w:numFmt w:val="decimal"/>
      <w:lvlText w:val="%7."/>
      <w:lvlJc w:val="left"/>
      <w:pPr>
        <w:ind w:left="4896" w:hanging="360"/>
      </w:pPr>
      <w:rPr>
        <w:rFonts w:cs="Times New Roman"/>
      </w:rPr>
    </w:lvl>
    <w:lvl w:ilvl="7" w:tplc="04100019" w:tentative="1">
      <w:start w:val="1"/>
      <w:numFmt w:val="lowerLetter"/>
      <w:lvlText w:val="%8."/>
      <w:lvlJc w:val="left"/>
      <w:pPr>
        <w:ind w:left="5616" w:hanging="360"/>
      </w:pPr>
      <w:rPr>
        <w:rFonts w:cs="Times New Roman"/>
      </w:rPr>
    </w:lvl>
    <w:lvl w:ilvl="8" w:tplc="0410001B" w:tentative="1">
      <w:start w:val="1"/>
      <w:numFmt w:val="lowerRoman"/>
      <w:lvlText w:val="%9."/>
      <w:lvlJc w:val="right"/>
      <w:pPr>
        <w:ind w:left="6336" w:hanging="180"/>
      </w:pPr>
      <w:rPr>
        <w:rFonts w:cs="Times New Roman"/>
      </w:rPr>
    </w:lvl>
  </w:abstractNum>
  <w:abstractNum w:abstractNumId="4" w15:restartNumberingAfterBreak="0">
    <w:nsid w:val="1C9B2EE5"/>
    <w:multiLevelType w:val="hybridMultilevel"/>
    <w:tmpl w:val="8F063FE4"/>
    <w:lvl w:ilvl="0" w:tplc="04100001">
      <w:start w:val="1"/>
      <w:numFmt w:val="bullet"/>
      <w:lvlText w:val=""/>
      <w:lvlJc w:val="left"/>
      <w:pPr>
        <w:ind w:left="1276" w:hanging="360"/>
      </w:pPr>
      <w:rPr>
        <w:rFonts w:ascii="Symbol" w:hAnsi="Symbol" w:hint="default"/>
      </w:rPr>
    </w:lvl>
    <w:lvl w:ilvl="1" w:tplc="04100003" w:tentative="1">
      <w:start w:val="1"/>
      <w:numFmt w:val="bullet"/>
      <w:lvlText w:val="o"/>
      <w:lvlJc w:val="left"/>
      <w:pPr>
        <w:ind w:left="1996" w:hanging="360"/>
      </w:pPr>
      <w:rPr>
        <w:rFonts w:ascii="Courier New" w:hAnsi="Courier New" w:cs="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cs="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cs="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5" w15:restartNumberingAfterBreak="0">
    <w:nsid w:val="200B10BE"/>
    <w:multiLevelType w:val="hybridMultilevel"/>
    <w:tmpl w:val="A002F8A2"/>
    <w:lvl w:ilvl="0" w:tplc="04100017">
      <w:start w:val="1"/>
      <w:numFmt w:val="lowerLetter"/>
      <w:lvlText w:val="%1)"/>
      <w:lvlJc w:val="left"/>
      <w:pPr>
        <w:ind w:left="717" w:hanging="360"/>
      </w:pPr>
    </w:lvl>
    <w:lvl w:ilvl="1" w:tplc="04100019">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6" w15:restartNumberingAfterBreak="0">
    <w:nsid w:val="24366D37"/>
    <w:multiLevelType w:val="hybridMultilevel"/>
    <w:tmpl w:val="36920C36"/>
    <w:lvl w:ilvl="0" w:tplc="961050F8">
      <w:start w:val="22"/>
      <w:numFmt w:val="bullet"/>
      <w:lvlText w:val="•"/>
      <w:lvlJc w:val="left"/>
      <w:pPr>
        <w:ind w:left="363" w:hanging="360"/>
      </w:pPr>
      <w:rPr>
        <w:rFonts w:ascii="Times New Roman" w:eastAsia="Times New Roman" w:hAnsi="Times New Roman" w:hint="default"/>
        <w:w w:val="131"/>
        <w:sz w:val="28"/>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7" w15:restartNumberingAfterBreak="0">
    <w:nsid w:val="2C76764D"/>
    <w:multiLevelType w:val="hybridMultilevel"/>
    <w:tmpl w:val="65A27D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1635E45"/>
    <w:multiLevelType w:val="hybridMultilevel"/>
    <w:tmpl w:val="9DE61AC0"/>
    <w:lvl w:ilvl="0" w:tplc="8522E380">
      <w:start w:val="1"/>
      <w:numFmt w:val="lowerLetter"/>
      <w:lvlText w:val="%1)"/>
      <w:lvlJc w:val="left"/>
      <w:pPr>
        <w:ind w:left="720" w:hanging="360"/>
      </w:pPr>
      <w:rPr>
        <w:rFonts w:ascii="Georgia" w:hAnsi="Georgia" w:cs="Times New Roman" w:hint="default"/>
        <w:sz w:val="22"/>
        <w:szCs w:val="20"/>
      </w:rPr>
    </w:lvl>
    <w:lvl w:ilvl="1" w:tplc="7FA08CE2">
      <w:start w:val="1"/>
      <w:numFmt w:val="lowerLetter"/>
      <w:lvlText w:val="%2)"/>
      <w:lvlJc w:val="left"/>
      <w:pPr>
        <w:ind w:left="1440" w:hanging="360"/>
      </w:pPr>
      <w:rPr>
        <w:rFonts w:cs="Times New Roman" w:hint="default"/>
      </w:rPr>
    </w:lvl>
    <w:lvl w:ilvl="2" w:tplc="7FA08CE2">
      <w:start w:val="1"/>
      <w:numFmt w:val="lowerLetter"/>
      <w:lvlText w:val="%3)"/>
      <w:lvlJc w:val="left"/>
      <w:pPr>
        <w:ind w:left="2160" w:hanging="360"/>
      </w:pPr>
      <w:rPr>
        <w:rFont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76206E"/>
    <w:multiLevelType w:val="hybridMultilevel"/>
    <w:tmpl w:val="A3D485A0"/>
    <w:lvl w:ilvl="0" w:tplc="0410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5674C5"/>
    <w:multiLevelType w:val="hybridMultilevel"/>
    <w:tmpl w:val="F46C71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111F06"/>
    <w:multiLevelType w:val="hybridMultilevel"/>
    <w:tmpl w:val="D58E42C2"/>
    <w:lvl w:ilvl="0" w:tplc="EAF0B328">
      <w:start w:val="1"/>
      <w:numFmt w:val="decimal"/>
      <w:lvlText w:val="%1."/>
      <w:lvlJc w:val="left"/>
      <w:pPr>
        <w:ind w:left="375" w:hanging="360"/>
      </w:pPr>
      <w:rPr>
        <w:rFonts w:hint="default"/>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2" w15:restartNumberingAfterBreak="0">
    <w:nsid w:val="41464B28"/>
    <w:multiLevelType w:val="hybridMultilevel"/>
    <w:tmpl w:val="8A80D5FA"/>
    <w:lvl w:ilvl="0" w:tplc="41389512">
      <w:start w:val="1"/>
      <w:numFmt w:val="decimal"/>
      <w:lvlText w:val="%1."/>
      <w:lvlJc w:val="left"/>
      <w:pPr>
        <w:ind w:left="360" w:hanging="360"/>
      </w:pPr>
      <w:rPr>
        <w:rFonts w:hint="default"/>
      </w:rPr>
    </w:lvl>
    <w:lvl w:ilvl="1" w:tplc="6C36F38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C01E92"/>
    <w:multiLevelType w:val="hybridMultilevel"/>
    <w:tmpl w:val="C5F0FF40"/>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A917D8D"/>
    <w:multiLevelType w:val="hybridMultilevel"/>
    <w:tmpl w:val="9ABA7288"/>
    <w:lvl w:ilvl="0" w:tplc="04100015">
      <w:start w:val="1"/>
      <w:numFmt w:val="upperLetter"/>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15" w15:restartNumberingAfterBreak="0">
    <w:nsid w:val="6F2234C6"/>
    <w:multiLevelType w:val="hybridMultilevel"/>
    <w:tmpl w:val="BC38480E"/>
    <w:lvl w:ilvl="0" w:tplc="EAB261FA">
      <w:numFmt w:val="bullet"/>
      <w:lvlText w:val="-"/>
      <w:lvlJc w:val="left"/>
      <w:pPr>
        <w:ind w:left="360" w:hanging="360"/>
      </w:pPr>
      <w:rPr>
        <w:rFonts w:ascii="Arial" w:eastAsia="Times New Roman" w:hAnsi="Arial" w:hint="default"/>
      </w:rPr>
    </w:lvl>
    <w:lvl w:ilvl="1" w:tplc="04100005">
      <w:start w:val="1"/>
      <w:numFmt w:val="bullet"/>
      <w:lvlText w:val=""/>
      <w:lvlJc w:val="left"/>
      <w:pPr>
        <w:ind w:left="1080" w:hanging="360"/>
      </w:pPr>
      <w:rPr>
        <w:rFonts w:ascii="Wingdings" w:hAnsi="Wingdings" w:hint="default"/>
      </w:rPr>
    </w:lvl>
    <w:lvl w:ilvl="2" w:tplc="32BCB198">
      <w:start w:val="1"/>
      <w:numFmt w:val="bullet"/>
      <w:lvlText w:val=""/>
      <w:lvlJc w:val="left"/>
      <w:pPr>
        <w:ind w:left="1800" w:hanging="360"/>
      </w:pPr>
      <w:rPr>
        <w:rFonts w:ascii="Symbol" w:eastAsia="Times New Roman"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5615779"/>
    <w:multiLevelType w:val="hybridMultilevel"/>
    <w:tmpl w:val="E4D8EA1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410000F">
      <w:start w:val="1"/>
      <w:numFmt w:val="decimal"/>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A9613D1"/>
    <w:multiLevelType w:val="hybridMultilevel"/>
    <w:tmpl w:val="A0E86D6A"/>
    <w:lvl w:ilvl="0" w:tplc="12583A88">
      <w:numFmt w:val="bullet"/>
      <w:lvlText w:val="•"/>
      <w:lvlJc w:val="left"/>
      <w:pPr>
        <w:ind w:left="644" w:hanging="360"/>
      </w:pPr>
      <w:rPr>
        <w:rFonts w:ascii="Calibri" w:eastAsia="Arial" w:hAnsi="Calibri" w:cs="Arial" w:hint="default"/>
        <w:w w:val="136"/>
        <w:sz w:val="18"/>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BCA5561"/>
    <w:multiLevelType w:val="hybridMultilevel"/>
    <w:tmpl w:val="69345AB2"/>
    <w:lvl w:ilvl="0" w:tplc="0410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3"/>
  </w:num>
  <w:num w:numId="3">
    <w:abstractNumId w:val="6"/>
  </w:num>
  <w:num w:numId="4">
    <w:abstractNumId w:val="15"/>
  </w:num>
  <w:num w:numId="5">
    <w:abstractNumId w:val="8"/>
  </w:num>
  <w:num w:numId="6">
    <w:abstractNumId w:val="14"/>
  </w:num>
  <w:num w:numId="7">
    <w:abstractNumId w:val="17"/>
  </w:num>
  <w:num w:numId="8">
    <w:abstractNumId w:val="13"/>
  </w:num>
  <w:num w:numId="9">
    <w:abstractNumId w:val="0"/>
  </w:num>
  <w:num w:numId="10">
    <w:abstractNumId w:val="11"/>
  </w:num>
  <w:num w:numId="11">
    <w:abstractNumId w:val="12"/>
  </w:num>
  <w:num w:numId="12">
    <w:abstractNumId w:val="9"/>
  </w:num>
  <w:num w:numId="13">
    <w:abstractNumId w:val="16"/>
  </w:num>
  <w:num w:numId="14">
    <w:abstractNumId w:val="1"/>
  </w:num>
  <w:num w:numId="15">
    <w:abstractNumId w:val="5"/>
  </w:num>
  <w:num w:numId="16">
    <w:abstractNumId w:val="7"/>
  </w:num>
  <w:num w:numId="17">
    <w:abstractNumId w:val="10"/>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31"/>
    <w:rsid w:val="001633CD"/>
    <w:rsid w:val="00AA1631"/>
    <w:rsid w:val="00CC6540"/>
    <w:rsid w:val="00D32E09"/>
    <w:rsid w:val="00EF0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77F04-7EBC-4656-ABAD-DABCDB14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1631"/>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AA1631"/>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A1631"/>
    <w:pPr>
      <w:widowControl w:val="0"/>
      <w:spacing w:after="200" w:line="276" w:lineRule="auto"/>
      <w:ind w:left="720"/>
      <w:contextualSpacing/>
    </w:pPr>
    <w:rPr>
      <w:lang w:val="en-US" w:eastAsia="en-US"/>
    </w:rPr>
  </w:style>
  <w:style w:type="paragraph" w:styleId="Intestazione">
    <w:name w:val="header"/>
    <w:basedOn w:val="Normale"/>
    <w:link w:val="IntestazioneCarattere"/>
    <w:uiPriority w:val="99"/>
    <w:unhideWhenUsed/>
    <w:rsid w:val="00AA16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1631"/>
    <w:rPr>
      <w:rFonts w:ascii="Calibri" w:eastAsia="Times New Roman" w:hAnsi="Calibri" w:cs="Times New Roman"/>
      <w:lang w:eastAsia="it-IT"/>
    </w:rPr>
  </w:style>
  <w:style w:type="paragraph" w:styleId="Pidipagina">
    <w:name w:val="footer"/>
    <w:basedOn w:val="Normale"/>
    <w:link w:val="PidipaginaCarattere"/>
    <w:uiPriority w:val="99"/>
    <w:unhideWhenUsed/>
    <w:rsid w:val="00AA16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1631"/>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3.xls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4.xls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4409</Words>
  <Characters>25135</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2021-11-08T11:08:00Z</dcterms:created>
  <dcterms:modified xsi:type="dcterms:W3CDTF">2021-11-11T11:38:00Z</dcterms:modified>
</cp:coreProperties>
</file>